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1095" w:after="975"/>
        <w:jc w:val="end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Title"/>
        <w:spacing w:before="1095" w:after="975"/>
        <w:jc w:val="end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Title"/>
        <w:spacing w:before="1095" w:after="975"/>
        <w:jc w:val="end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</w:r>
    </w:p>
    <w:p>
      <w:pPr>
        <w:pStyle w:val="Title"/>
        <w:spacing w:before="297" w:after="177"/>
        <w:jc w:val="end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drawing>
          <wp:anchor behindDoc="0" distT="0" distB="0" distL="114300" distR="114300" simplePos="0" locked="0" layoutInCell="0" allowOverlap="1" relativeHeight="16">
            <wp:simplePos x="0" y="0"/>
            <wp:positionH relativeFrom="column">
              <wp:posOffset>3609975</wp:posOffset>
            </wp:positionH>
            <wp:positionV relativeFrom="paragraph">
              <wp:posOffset>135255</wp:posOffset>
            </wp:positionV>
            <wp:extent cx="2468245" cy="508635"/>
            <wp:effectExtent l="0" t="0" r="0" b="0"/>
            <wp:wrapSquare wrapText="bothSides"/>
            <wp:docPr id="1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56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50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Title"/>
        <w:spacing w:lineRule="auto" w:line="240" w:before="753" w:after="633"/>
        <w:jc w:val="end"/>
        <w:rPr>
          <w:rFonts w:ascii="Calibri" w:hAnsi="Calibri"/>
          <w:sz w:val="48"/>
          <w:szCs w:val="48"/>
        </w:rPr>
      </w:pPr>
      <w:r>
        <w:rPr>
          <w:rFonts w:ascii="Calibri" w:hAnsi="Calibri"/>
          <w:sz w:val="48"/>
          <w:szCs w:val="48"/>
        </w:rPr>
        <w:t xml:space="preserve">Informe </w:t>
      </w:r>
      <w:r>
        <w:rPr>
          <w:rFonts w:ascii="Calibri" w:hAnsi="Calibri"/>
          <w:sz w:val="48"/>
          <w:szCs w:val="48"/>
        </w:rPr>
        <w:t>de V</w:t>
      </w:r>
      <w:r>
        <w:rPr>
          <w:rFonts w:ascii="Calibri" w:hAnsi="Calibri"/>
          <w:sz w:val="48"/>
          <w:szCs w:val="48"/>
        </w:rPr>
        <w:t>iabilidad Municipal (</w:t>
      </w:r>
      <w:r>
        <w:rPr>
          <w:rFonts w:ascii="Calibri" w:hAnsi="Calibri"/>
          <w:sz w:val="48"/>
          <w:szCs w:val="48"/>
        </w:rPr>
        <w:t>e</w:t>
      </w:r>
      <w:r>
        <w:rPr>
          <w:rFonts w:ascii="Calibri" w:hAnsi="Calibri"/>
          <w:sz w:val="48"/>
          <w:szCs w:val="48"/>
        </w:rPr>
        <w:t>jemplo)</w:t>
      </w:r>
    </w:p>
    <w:p>
      <w:pPr>
        <w:pStyle w:val="BodyText"/>
        <w:spacing w:lineRule="auto" w:line="240" w:before="240" w:after="120"/>
        <w:jc w:val="end"/>
        <w:rPr>
          <w:rFonts w:ascii="Times New Roman" w:hAnsi="Times New Roman"/>
          <w:sz w:val="32"/>
          <w:szCs w:val="32"/>
        </w:rPr>
      </w:pPr>
      <w:r>
        <mc:AlternateContent>
          <mc:Choice Requires="wps">
            <w:drawing>
              <wp:anchor behindDoc="0" distT="1270" distB="635" distL="1270" distR="635" simplePos="0" locked="0" layoutInCell="1" allowOverlap="1" relativeHeight="17">
                <wp:simplePos x="0" y="0"/>
                <wp:positionH relativeFrom="column">
                  <wp:posOffset>5471160</wp:posOffset>
                </wp:positionH>
                <wp:positionV relativeFrom="paragraph">
                  <wp:posOffset>-266700</wp:posOffset>
                </wp:positionV>
                <wp:extent cx="575945" cy="635"/>
                <wp:effectExtent l="1270" t="1270" r="635" b="635"/>
                <wp:wrapNone/>
                <wp:docPr id="2" name="Shap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76000" cy="720"/>
                        </a:xfrm>
                        <a:prstGeom prst="straightConnector1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path="m0,0l-2147483648,-2147483647e" stroked="t" o:allowincell="f" style="position:absolute;margin-left:430.8pt;margin-top:-21.05pt;width:45.3pt;height:0pt;flip:y;mso-wrap-style:none;v-text-anchor:middle" type="_x0000_t32">
                <v:fill o:detectmouseclick="t" on="false"/>
                <v:stroke color="black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/>
          <w:sz w:val="32"/>
          <w:szCs w:val="32"/>
        </w:rPr>
        <w:t>Análisis de viabilidad municipal para plantas de biometano</w:t>
      </w:r>
    </w:p>
    <w:p>
      <w:pPr>
        <w:pStyle w:val="BodyText"/>
        <w:spacing w:lineRule="auto" w:line="240" w:before="69" w:after="0"/>
        <w:jc w:val="end"/>
        <w:rPr>
          <w:rFonts w:ascii="Calibri" w:hAnsi="Calibri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Belchite (Zaragoza)</w:t>
      </w:r>
      <w:r>
        <w:rPr>
          <w:rFonts w:ascii="Calibri" w:hAnsi="Calibri"/>
          <w:sz w:val="32"/>
          <w:szCs w:val="32"/>
        </w:rPr>
        <w:t xml:space="preserve"> </w:t>
      </w:r>
      <w:r>
        <w:br w:type="page"/>
      </w:r>
    </w:p>
    <w:p>
      <w:pPr>
        <w:pStyle w:val="Heading1"/>
        <w:numPr>
          <w:ilvl w:val="0"/>
          <w:numId w:val="2"/>
        </w:numPr>
        <w:spacing w:before="0" w:after="360"/>
        <w:ind w:hanging="567" w:start="567"/>
        <w:rPr/>
      </w:pPr>
      <w:r>
        <w:rPr/>
        <w:t>Introducción</w:t>
      </w:r>
    </w:p>
    <w:p>
      <w:pPr>
        <w:pStyle w:val="ListParagraph"/>
        <w:rPr/>
      </w:pPr>
      <w:r>
        <w:rPr/>
        <w:t>El presente informe tiene por objeto identificar las parcelas rústicas del término municipal de Belchite (Zaragoza) con potencial para albergar instalaciones de producción de biometano, integrando dos niveles de análisis: en primer lugar, el prefiltrado por superficie y proximidad a la red de gas natural; en segundo lugar, la aplicación de las capas de restricción territorial vigentes, que determinan la aptitud real de cada parcela.</w:t>
      </w:r>
    </w:p>
    <w:p>
      <w:pPr>
        <w:pStyle w:val="ListParagraph"/>
        <w:rPr/>
      </w:pPr>
      <w:r>
        <w:rPr/>
        <w:t xml:space="preserve">El análisis se estructura en cuatro anillos concéntricos de buffer trazados desde la red de gas: 0-1 km, 1-3 km, 3-5 km y 5-10 km. </w:t>
      </w:r>
      <w:r>
        <w:rPr>
          <w:b/>
        </w:rPr>
        <w:t>Para cada anillo se contabilizan las parcelas con superficie entre 5 y 20 hectáreas y se aplica el filtro de ratio de zona útil mayor del 70%</w:t>
      </w:r>
      <w:r>
        <w:rPr/>
        <w:t>, que mide la proporción de la superficie de la parcela libre de afecciones de exclusión.</w:t>
      </w:r>
    </w:p>
    <w:p>
      <w:pPr>
        <w:pStyle w:val="Heading1"/>
        <w:numPr>
          <w:ilvl w:val="0"/>
          <w:numId w:val="2"/>
        </w:numPr>
        <w:ind w:hanging="567" w:start="567"/>
        <w:rPr/>
      </w:pPr>
      <w:r>
        <w:rPr/>
        <w:t>Red de gas natural</w:t>
      </w:r>
    </w:p>
    <w:p>
      <w:pPr>
        <w:pStyle w:val="ListParagraph"/>
        <w:rPr/>
      </w:pPr>
      <w:r>
        <w:rPr/>
        <w:t>El municipio de Belchite cuenta con infraestructura de gas natural en su termino municipal, compuesta por los siguientes ramales:</w:t>
      </w:r>
    </w:p>
    <w:tbl>
      <w:tblPr>
        <w:tblStyle w:val="Tablaconcuadrculaclara"/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845"/>
        <w:gridCol w:w="1128"/>
        <w:gridCol w:w="1427"/>
        <w:gridCol w:w="1557"/>
        <w:gridCol w:w="1430"/>
        <w:gridCol w:w="1323"/>
        <w:gridCol w:w="1928"/>
      </w:tblGrid>
      <w:tr>
        <w:trPr>
          <w:trHeight w:val="680" w:hRule="atLeast"/>
        </w:trPr>
        <w:tc>
          <w:tcPr>
            <w:tcW w:w="845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538135" w:themeFill="accent6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jc w:val="start"/>
              <w:rPr>
                <w:rFonts w:ascii="Calibri" w:hAnsi="Calibri" w:cs="Calibri" w:asciiTheme="minorHAnsi" w:cstheme="minorHAnsi" w:hAnsiTheme="minorHAnsi"/>
                <w:b/>
                <w:bCs/>
                <w:color w:themeColor="background1" w:val="FFFFFF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bCs/>
                <w:color w:themeColor="background1" w:val="FFFFFF"/>
                <w:kern w:val="0"/>
                <w:szCs w:val="20"/>
                <w:lang w:val="es-ES" w:eastAsia="en-US" w:bidi="ar-SA"/>
              </w:rPr>
              <w:t>Ramal</w:t>
            </w:r>
          </w:p>
        </w:tc>
        <w:tc>
          <w:tcPr>
            <w:tcW w:w="1128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538135" w:themeFill="accent6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jc w:val="start"/>
              <w:rPr>
                <w:rFonts w:ascii="Calibri" w:hAnsi="Calibri" w:cs="Calibri" w:asciiTheme="minorHAnsi" w:cstheme="minorHAnsi" w:hAnsiTheme="minorHAnsi"/>
                <w:b/>
                <w:bCs/>
                <w:color w:themeColor="background1" w:val="FFFFFF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bCs/>
                <w:color w:themeColor="background1" w:val="FFFFFF"/>
                <w:kern w:val="0"/>
                <w:szCs w:val="20"/>
                <w:lang w:val="es-ES" w:eastAsia="en-US" w:bidi="ar-SA"/>
              </w:rPr>
              <w:t>Operador</w:t>
            </w:r>
          </w:p>
        </w:tc>
        <w:tc>
          <w:tcPr>
            <w:tcW w:w="1427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538135" w:themeFill="accent6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jc w:val="start"/>
              <w:rPr>
                <w:rFonts w:ascii="Calibri" w:hAnsi="Calibri" w:cs="Calibri" w:asciiTheme="minorHAnsi" w:cstheme="minorHAnsi" w:hAnsiTheme="minorHAnsi"/>
                <w:b/>
                <w:bCs/>
                <w:color w:themeColor="background1" w:val="FFFFFF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bCs/>
                <w:color w:themeColor="background1" w:val="FFFFFF"/>
                <w:kern w:val="0"/>
                <w:szCs w:val="20"/>
                <w:lang w:val="es-ES" w:eastAsia="en-US" w:bidi="ar-SA"/>
              </w:rPr>
              <w:t>Tipo</w:t>
            </w:r>
          </w:p>
        </w:tc>
        <w:tc>
          <w:tcPr>
            <w:tcW w:w="1557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538135" w:themeFill="accent6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jc w:val="start"/>
              <w:rPr>
                <w:rFonts w:ascii="Calibri" w:hAnsi="Calibri" w:cs="Calibri" w:asciiTheme="minorHAnsi" w:cstheme="minorHAnsi" w:hAnsiTheme="minorHAnsi"/>
                <w:b/>
                <w:bCs/>
                <w:color w:themeColor="background1" w:val="FFFFFF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bCs/>
                <w:color w:themeColor="background1" w:val="FFFFFF"/>
                <w:kern w:val="0"/>
                <w:szCs w:val="20"/>
                <w:lang w:val="es-ES" w:eastAsia="en-US" w:bidi="ar-SA"/>
              </w:rPr>
              <w:t>Presión diseño</w:t>
            </w:r>
          </w:p>
        </w:tc>
        <w:tc>
          <w:tcPr>
            <w:tcW w:w="1430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538135" w:themeFill="accent6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jc w:val="start"/>
              <w:rPr>
                <w:rFonts w:ascii="Calibri" w:hAnsi="Calibri" w:cs="Calibri" w:asciiTheme="minorHAnsi" w:cstheme="minorHAnsi" w:hAnsiTheme="minorHAnsi"/>
                <w:b/>
                <w:bCs/>
                <w:color w:themeColor="background1" w:val="FFFFFF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bCs/>
                <w:color w:themeColor="background1" w:val="FFFFFF"/>
                <w:kern w:val="0"/>
                <w:szCs w:val="20"/>
                <w:lang w:val="es-ES" w:eastAsia="en-US" w:bidi="ar-SA"/>
              </w:rPr>
              <w:t>Material</w:t>
            </w:r>
          </w:p>
        </w:tc>
        <w:tc>
          <w:tcPr>
            <w:tcW w:w="1323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538135" w:themeFill="accent6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jc w:val="start"/>
              <w:rPr>
                <w:rFonts w:ascii="Calibri" w:hAnsi="Calibri" w:cs="Calibri" w:asciiTheme="minorHAnsi" w:cstheme="minorHAnsi" w:hAnsiTheme="minorHAnsi"/>
                <w:b/>
                <w:bCs/>
                <w:color w:themeColor="background1" w:val="FFFFFF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bCs/>
                <w:color w:themeColor="background1" w:val="FFFFFF"/>
                <w:kern w:val="0"/>
                <w:szCs w:val="20"/>
                <w:lang w:val="es-ES" w:eastAsia="en-US" w:bidi="ar-SA"/>
              </w:rPr>
              <w:t>Diam (mm)</w:t>
            </w:r>
          </w:p>
        </w:tc>
        <w:tc>
          <w:tcPr>
            <w:tcW w:w="1928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538135" w:themeFill="accent6" w:themeFillShade="b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jc w:val="start"/>
              <w:rPr>
                <w:rFonts w:ascii="Calibri" w:hAnsi="Calibri" w:cs="Calibri" w:asciiTheme="minorHAnsi" w:cstheme="minorHAnsi" w:hAnsiTheme="minorHAnsi"/>
                <w:b/>
                <w:bCs/>
                <w:color w:themeColor="background1" w:val="FFFFFF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bCs/>
                <w:color w:themeColor="background1" w:val="FFFFFF"/>
                <w:kern w:val="0"/>
                <w:szCs w:val="20"/>
                <w:lang w:val="es-ES" w:eastAsia="en-US" w:bidi="ar-SA"/>
              </w:rPr>
              <w:t>Observaciones</w:t>
            </w:r>
          </w:p>
        </w:tc>
      </w:tr>
      <w:tr>
        <w:trPr>
          <w:trHeight w:val="680" w:hRule="atLeast"/>
        </w:trPr>
        <w:tc>
          <w:tcPr>
            <w:tcW w:w="845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E2EFD9" w:themeFill="accent6" w:themeFillTint="33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b/>
                <w:color w:themeColor="accent6" w:themeShade="80" w:val="385623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color w:themeColor="accent6" w:themeShade="80" w:val="385623"/>
                <w:kern w:val="0"/>
                <w:szCs w:val="20"/>
                <w:lang w:val="es-ES" w:eastAsia="en-US" w:bidi="ar-SA"/>
              </w:rPr>
              <w:t>1</w:t>
            </w:r>
          </w:p>
        </w:tc>
        <w:tc>
          <w:tcPr>
            <w:tcW w:w="1128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FFFFF" w:themeFill="background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Enagás</w:t>
            </w:r>
          </w:p>
        </w:tc>
        <w:tc>
          <w:tcPr>
            <w:tcW w:w="1427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FFFFF" w:themeFill="background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Transporte</w:t>
            </w:r>
          </w:p>
        </w:tc>
        <w:tc>
          <w:tcPr>
            <w:tcW w:w="1557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FFFFF" w:themeFill="background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~72 bar</w:t>
            </w:r>
          </w:p>
        </w:tc>
        <w:tc>
          <w:tcPr>
            <w:tcW w:w="1430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FFFFF" w:themeFill="background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Acero API 5L</w:t>
            </w:r>
          </w:p>
        </w:tc>
        <w:tc>
          <w:tcPr>
            <w:tcW w:w="1323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FFFFF" w:themeFill="background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26" (~660 mm)</w:t>
            </w:r>
          </w:p>
        </w:tc>
        <w:tc>
          <w:tcPr>
            <w:tcW w:w="1928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FFFFF" w:themeFill="background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GASODUCTO BVV</w:t>
            </w:r>
          </w:p>
        </w:tc>
      </w:tr>
      <w:tr>
        <w:trPr>
          <w:trHeight w:val="680" w:hRule="atLeast"/>
        </w:trPr>
        <w:tc>
          <w:tcPr>
            <w:tcW w:w="845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E2EFD9" w:themeFill="accent6" w:themeFillTint="33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b/>
                <w:color w:themeColor="accent6" w:themeShade="80" w:val="385623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color w:themeColor="accent6" w:themeShade="80" w:val="385623"/>
                <w:kern w:val="0"/>
                <w:szCs w:val="20"/>
                <w:lang w:val="es-ES" w:eastAsia="en-US" w:bidi="ar-SA"/>
              </w:rPr>
              <w:t>2</w:t>
            </w:r>
          </w:p>
        </w:tc>
        <w:tc>
          <w:tcPr>
            <w:tcW w:w="1128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4F9F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Redexis</w:t>
            </w:r>
          </w:p>
        </w:tc>
        <w:tc>
          <w:tcPr>
            <w:tcW w:w="1427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4F9F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Transporte Secundario</w:t>
            </w:r>
          </w:p>
        </w:tc>
        <w:tc>
          <w:tcPr>
            <w:tcW w:w="1557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4F9F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~49 bar</w:t>
            </w:r>
          </w:p>
        </w:tc>
        <w:tc>
          <w:tcPr>
            <w:tcW w:w="1430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4F9F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Acero API 5L</w:t>
            </w:r>
          </w:p>
        </w:tc>
        <w:tc>
          <w:tcPr>
            <w:tcW w:w="1323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4F9F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8" (~203 mm)</w:t>
            </w:r>
          </w:p>
        </w:tc>
        <w:tc>
          <w:tcPr>
            <w:tcW w:w="1928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4F9F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Ramal derivación pos. 23</w:t>
            </w:r>
          </w:p>
        </w:tc>
      </w:tr>
      <w:tr>
        <w:trPr>
          <w:trHeight w:val="680" w:hRule="atLeast"/>
        </w:trPr>
        <w:tc>
          <w:tcPr>
            <w:tcW w:w="845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E2EFD9" w:themeFill="accent6" w:themeFillTint="33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b/>
                <w:color w:themeColor="accent6" w:themeShade="80" w:val="385623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b/>
                <w:color w:themeColor="accent6" w:themeShade="80" w:val="385623"/>
                <w:kern w:val="0"/>
                <w:szCs w:val="20"/>
                <w:lang w:val="es-ES" w:eastAsia="en-US" w:bidi="ar-SA"/>
              </w:rPr>
              <w:t>3</w:t>
            </w:r>
          </w:p>
        </w:tc>
        <w:tc>
          <w:tcPr>
            <w:tcW w:w="1128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FFFFF" w:themeFill="background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Redexis</w:t>
            </w:r>
          </w:p>
        </w:tc>
        <w:tc>
          <w:tcPr>
            <w:tcW w:w="1427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FFFFF" w:themeFill="background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Distribucion</w:t>
            </w:r>
          </w:p>
        </w:tc>
        <w:tc>
          <w:tcPr>
            <w:tcW w:w="1557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FFFFF" w:themeFill="background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MOP 16 /MOP 0,4 bar</w:t>
            </w:r>
          </w:p>
        </w:tc>
        <w:tc>
          <w:tcPr>
            <w:tcW w:w="1430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FFFFF" w:themeFill="background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Acero / Polietileno</w:t>
            </w:r>
          </w:p>
        </w:tc>
        <w:tc>
          <w:tcPr>
            <w:tcW w:w="1323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FFFFF" w:themeFill="background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8" acero + PE urbano</w:t>
            </w:r>
          </w:p>
        </w:tc>
        <w:tc>
          <w:tcPr>
            <w:tcW w:w="1928" w:type="dxa"/>
            <w:tcBorders>
              <w:top w:val="single" w:sz="2" w:space="0" w:color="AEAAAA"/>
              <w:start w:val="single" w:sz="2" w:space="0" w:color="AEAAAA"/>
              <w:bottom w:val="single" w:sz="2" w:space="0" w:color="AEAAAA"/>
              <w:end w:val="single" w:sz="2" w:space="0" w:color="AEAAAA"/>
            </w:tcBorders>
            <w:shd w:color="auto" w:fill="FFFFFF" w:themeFill="background1" w:val="clear"/>
            <w:vAlign w:val="center"/>
          </w:tcPr>
          <w:p>
            <w:pPr>
              <w:pStyle w:val="BodyText"/>
              <w:widowControl/>
              <w:spacing w:lineRule="auto" w:line="240" w:before="58" w:after="58"/>
              <w:jc w:val="start"/>
              <w:rPr>
                <w:rFonts w:ascii="Calibri" w:hAnsi="Calibri" w:cs="Calibri" w:asciiTheme="minorHAnsi" w:cstheme="minorHAnsi" w:hAnsiTheme="minorHAnsi"/>
                <w:szCs w:val="20"/>
              </w:rPr>
            </w:pPr>
            <w:r>
              <w:rPr>
                <w:rFonts w:eastAsia="Calibri" w:cs="Calibri" w:ascii="Calibri" w:hAnsi="Calibri" w:asciiTheme="minorHAnsi" w:cstheme="minorHAnsi" w:hAnsiTheme="minorHAnsi"/>
                <w:kern w:val="0"/>
                <w:szCs w:val="20"/>
                <w:lang w:val="es-ES" w:eastAsia="en-US" w:bidi="ar-SA"/>
              </w:rPr>
              <w:t>Red mixta según presión</w:t>
            </w:r>
          </w:p>
        </w:tc>
      </w:tr>
    </w:tbl>
    <w:p>
      <w:pPr>
        <w:pStyle w:val="ListParagraph"/>
        <w:spacing w:before="360" w:after="240"/>
        <w:rPr/>
      </w:pPr>
      <w:r>
        <w:rPr/>
        <w:t xml:space="preserve">El término municipal de Belchite se encuentra en el área de influencia de </w:t>
      </w:r>
      <w:r>
        <w:rPr>
          <w:b/>
        </w:rPr>
        <w:t>dos infraestructuras gasistas diferenciadas</w:t>
      </w:r>
      <w:r>
        <w:rPr/>
        <w:t xml:space="preserve">. </w:t>
      </w:r>
    </w:p>
    <w:p>
      <w:pPr>
        <w:pStyle w:val="ListParagraph"/>
        <w:rPr>
          <w:b/>
        </w:rPr>
      </w:pPr>
      <w:r>
        <w:rPr>
          <w:b/>
        </w:rPr>
        <w:t>La red de transporte de alta presión</w:t>
      </w:r>
      <w:r>
        <w:rPr/>
        <w:t xml:space="preserve"> </w:t>
      </w:r>
      <w:r>
        <w:rPr>
          <w:b/>
        </w:rPr>
        <w:t xml:space="preserve">BVV (Barcelona-Valencia-Vizcaya) </w:t>
      </w:r>
      <w:r>
        <w:rPr/>
        <w:t>discurre por el corredor oriental, transcurriendo en paralelo a la N-232 a su paso por el término municipal de Quinto de Ebro, constituyendo igualmente un punto de conexión potencial desde el entorno de Belmonte de Gracián. Superpuestas sobre este trazado</w:t>
      </w:r>
      <w:r>
        <w:rPr>
          <w:b/>
        </w:rPr>
        <w:t>, la Figura 1 representa en azul el primer prefiltrado de parcelas del municipio: aquellas con superficie entre 5 y 20 Ha situadas a menos de 2 km de la red de gas.</w:t>
      </w:r>
    </w:p>
    <w:p>
      <w:pPr>
        <w:pStyle w:val="ListParagraph"/>
        <w:rPr/>
      </w:pPr>
      <w:r>
        <w:rPr>
          <w:b/>
        </w:rPr>
        <w:t>La red de distribución municipal</w:t>
      </w:r>
      <w:r>
        <w:rPr/>
        <w:t>, operada por Redexis, da servicio al núcleo urbano mediante tubería de polietileno a MOP 0,4 bar, conectada a la red de transporte a través de un ramal en acero a MOP 16 bar. Su trazado detallado se recoge en la Figura 2.</w:t>
      </w:r>
    </w:p>
    <w:p>
      <w:pPr>
        <w:pStyle w:val="imagen"/>
        <w:rPr/>
      </w:pPr>
      <w:r>
        <w:rPr/>
        <mc:AlternateContent>
          <mc:Choice Requires="wps">
            <w:drawing>
              <wp:inline distT="0" distB="0" distL="0" distR="0" wp14:anchorId="3C92C21C">
                <wp:extent cx="5039995" cy="3401695"/>
                <wp:effectExtent l="57150" t="57150" r="103505" b="122555"/>
                <wp:docPr id="3" name="Image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5040000" cy="340164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adb9ca"/>
                          </a:solidFill>
                        </a:ln>
                        <a:effectLst>
                          <a:outerShdw algn="tl" blurRad="50760" dir="2700000" dist="37674" rotWithShape="0">
                            <a:srgbClr val="000000">
                              <a:alpha val="2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t" o:allowincell="f" style="position:absolute;margin-left:0pt;margin-top:-282.05pt;width:396.8pt;height:267.8pt;mso-wrap-style:none;v-text-anchor:middle;mso-position-vertical:top" wp14:anchorId="3C92C21C" type="_x0000_t75">
                <v:imagedata r:id="rId4" o:detectmouseclick="t"/>
                <v:stroke color="#adb9ca" joinstyle="round" endcap="flat"/>
                <v:shadow on="t" obscured="f" color="black"/>
                <w10:wrap type="square"/>
              </v:shape>
            </w:pict>
          </mc:Fallback>
        </mc:AlternateContent>
      </w:r>
    </w:p>
    <w:p>
      <w:pPr>
        <w:pStyle w:val="Caption"/>
        <w:jc w:val="center"/>
        <w:rPr/>
      </w:pPr>
      <w:r>
        <w:rPr/>
        <w:t xml:space="preserve">Ilustración </w:t>
      </w:r>
      <w:r>
        <w:rPr/>
        <w:fldChar w:fldCharType="begin"/>
      </w:r>
      <w:r>
        <w:rPr/>
        <w:instrText xml:space="preserve"> SEQ Ilustración \* ARABIC </w:instrText>
      </w:r>
      <w:r>
        <w:rPr/>
        <w:fldChar w:fldCharType="separate"/>
      </w:r>
      <w:r>
        <w:rPr/>
        <w:t>1</w:t>
      </w:r>
      <w:r>
        <w:rPr/>
        <w:fldChar w:fldCharType="end"/>
      </w:r>
      <w:r>
        <w:rPr/>
        <w:t xml:space="preserve">: Red de transporte y parcelas a menos de 2 km de ella. </w:t>
      </w:r>
    </w:p>
    <w:p>
      <w:pPr>
        <w:pStyle w:val="ListParagraph"/>
        <w:spacing w:before="360" w:after="240"/>
        <w:rPr/>
      </w:pPr>
      <w:r>
        <w:rPr/>
      </w:r>
    </w:p>
    <w:p>
      <w:pPr>
        <w:pStyle w:val="imagen"/>
        <w:keepNext w:val="true"/>
        <w:rPr/>
      </w:pPr>
      <w:r>
        <w:rPr/>
        <mc:AlternateContent>
          <mc:Choice Requires="wps">
            <w:drawing>
              <wp:inline distT="0" distB="0" distL="0" distR="0" wp14:anchorId="429E27E5">
                <wp:extent cx="5039995" cy="3707765"/>
                <wp:effectExtent l="57150" t="57150" r="103505" b="121285"/>
                <wp:docPr id="5" name="Imagen 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1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5040000" cy="370764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767171"/>
                          </a:solidFill>
                        </a:ln>
                        <a:effectLst>
                          <a:outerShdw algn="tl" blurRad="50760" dir="2700000" dist="37674" rotWithShape="0">
                            <a:srgbClr val="000000">
                              <a:alpha val="2000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mc:Choice>
          <mc:Fallback>
            <w:pict>
              <v:shape id="shape_0" stroked="t" o:allowincell="f" style="position:absolute;margin-left:0pt;margin-top:-306.05pt;width:396.8pt;height:291.9pt;mso-wrap-style:none;v-text-anchor:middle;mso-position-vertical:top" wp14:anchorId="429E27E5" type="_x0000_t75">
                <v:imagedata r:id="rId6" o:detectmouseclick="t"/>
                <v:stroke color="#767171" joinstyle="round" endcap="flat"/>
                <v:shadow on="t" obscured="f" color="black"/>
                <w10:wrap type="square"/>
              </v:shape>
            </w:pict>
          </mc:Fallback>
        </mc:AlternateContent>
      </w:r>
    </w:p>
    <w:p>
      <w:pPr>
        <w:pStyle w:val="Caption"/>
        <w:jc w:val="center"/>
        <w:rPr/>
      </w:pPr>
      <w:r>
        <w:rPr/>
        <w:t xml:space="preserve">Ilustración </w:t>
      </w:r>
      <w:r>
        <w:rPr/>
        <w:fldChar w:fldCharType="begin"/>
      </w:r>
      <w:r>
        <w:rPr/>
        <w:instrText xml:space="preserve"> SEQ Ilustración \* ARABIC </w:instrText>
      </w:r>
      <w:r>
        <w:rPr/>
        <w:fldChar w:fldCharType="separate"/>
      </w:r>
      <w:r>
        <w:rPr/>
        <w:t>2</w:t>
      </w:r>
      <w:r>
        <w:rPr/>
        <w:fldChar w:fldCharType="end"/>
      </w:r>
      <w:r>
        <w:rPr/>
        <w:t>: Detalle de la red de distribución del núcleo urbano (líneas verdes).</w:t>
      </w:r>
    </w:p>
    <w:p>
      <w:pPr>
        <w:pStyle w:val="Heading1"/>
        <w:numPr>
          <w:ilvl w:val="0"/>
          <w:numId w:val="2"/>
        </w:numPr>
        <w:ind w:hanging="567" w:start="567"/>
        <w:rPr/>
      </w:pPr>
      <w:r>
        <w:rPr/>
        <w:t>Zona útil municipal: análisis de afecciones territoriales</w:t>
      </w:r>
    </w:p>
    <w:p>
      <w:pPr>
        <w:pStyle w:val="ListParagraph"/>
        <w:rPr>
          <w:rFonts w:ascii="Arial" w:hAnsi="Arial"/>
        </w:rPr>
      </w:pPr>
      <w:r>
        <w:rPr/>
        <w:t xml:space="preserve">Con carácter previo al análisis de parcelas, se ha evaluado la situación del conjunto del término municipal de </w:t>
      </w:r>
      <w:r>
        <w:rPr>
          <w:b/>
        </w:rPr>
        <w:t>Belchite</w:t>
      </w:r>
      <w:r>
        <w:rPr/>
        <w:t xml:space="preserve"> respecto a las capas de restricción territorial aplicables a instalaciones de biometano. Este análisis permite contextualizar los resultados de viabilidad parcelaria dentro de un marco territorial condicionado de forma significativa por figuras de protección medioambiental y urbanística.</w:t>
      </w:r>
    </w:p>
    <w:p>
      <w:pPr>
        <w:pStyle w:val="ListParagraph"/>
        <w:rPr/>
      </w:pPr>
      <w:r>
        <w:rPr/>
        <w:t xml:space="preserve">Se han identificado </w:t>
      </w:r>
      <w:r>
        <w:rPr>
          <w:b/>
        </w:rPr>
        <w:t>19 capas de restricción</w:t>
      </w:r>
      <w:r>
        <w:rPr/>
        <w:t xml:space="preserve"> con presencia real en el término municipal sobre un total de 39 capas evaluadas, </w:t>
      </w:r>
      <w:r>
        <w:rPr>
          <w:b/>
        </w:rPr>
        <w:t>clasificadas en exclusión y advertencia</w:t>
      </w:r>
      <w:r>
        <w:rPr/>
        <w:t>. La tabla siguiente recoge, para cada categoría, las capas que la integran ordenadas de mayor a menor superficie afectada.</w:t>
      </w:r>
    </w:p>
    <w:tbl>
      <w:tblPr>
        <w:tblStyle w:val="Tablaconcuadrculaclara"/>
        <w:tblW w:w="96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696"/>
        <w:gridCol w:w="1255"/>
        <w:gridCol w:w="1993"/>
        <w:gridCol w:w="4684"/>
      </w:tblGrid>
      <w:tr>
        <w:trPr>
          <w:trHeight w:val="624" w:hRule="atLeast"/>
        </w:trPr>
        <w:tc>
          <w:tcPr>
            <w:tcW w:w="9628" w:type="dxa"/>
            <w:gridSpan w:val="4"/>
            <w:tcBorders/>
            <w:shd w:color="auto" w:fill="538135" w:themeFill="accent6" w:themeFillShade="bf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b/>
                <w:color w:themeColor="background1" w:val="FFFFFF"/>
                <w:sz w:val="20"/>
                <w:szCs w:val="20"/>
              </w:rPr>
            </w:pPr>
            <w:r>
              <w:rPr>
                <w:rFonts w:eastAsia="Calibri" w:cs=""/>
                <w:b/>
                <w:color w:themeColor="background1" w:val="FFFFFF"/>
                <w:kern w:val="0"/>
                <w:sz w:val="20"/>
                <w:szCs w:val="20"/>
                <w:lang w:val="es-ES" w:eastAsia="en-US" w:bidi="ar-SA"/>
              </w:rPr>
              <w:t>Análisis de Condiciones del Suelo Municipal — Afecciones por Capa</w:t>
            </w:r>
          </w:p>
        </w:tc>
      </w:tr>
      <w:tr>
        <w:trPr>
          <w:trHeight w:val="624" w:hRule="atLeast"/>
        </w:trPr>
        <w:tc>
          <w:tcPr>
            <w:tcW w:w="1696" w:type="dxa"/>
            <w:tcBorders/>
            <w:shd w:color="auto" w:fill="70AD47" w:themeFill="accent6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b/>
                <w:color w:themeColor="background1" w:val="FFFFFF"/>
                <w:sz w:val="20"/>
                <w:szCs w:val="20"/>
              </w:rPr>
            </w:pPr>
            <w:r>
              <w:rPr>
                <w:rFonts w:eastAsia="Calibri" w:cs=""/>
                <w:b/>
                <w:color w:themeColor="background1" w:val="FFFFFF"/>
                <w:kern w:val="0"/>
                <w:sz w:val="20"/>
                <w:szCs w:val="20"/>
                <w:lang w:val="es-ES" w:eastAsia="en-US" w:bidi="ar-SA"/>
              </w:rPr>
              <w:t>Condición</w:t>
            </w:r>
          </w:p>
        </w:tc>
        <w:tc>
          <w:tcPr>
            <w:tcW w:w="1255" w:type="dxa"/>
            <w:tcBorders/>
            <w:shd w:color="auto" w:fill="70AD47" w:themeFill="accent6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b/>
                <w:color w:themeColor="background1" w:val="FFFFFF"/>
                <w:sz w:val="20"/>
                <w:szCs w:val="20"/>
              </w:rPr>
            </w:pPr>
            <w:r>
              <w:rPr>
                <w:rFonts w:eastAsia="Calibri" w:cs=""/>
                <w:b/>
                <w:color w:themeColor="background1" w:val="FFFFFF"/>
                <w:kern w:val="0"/>
                <w:sz w:val="20"/>
                <w:szCs w:val="20"/>
                <w:lang w:val="es-ES" w:eastAsia="en-US" w:bidi="ar-SA"/>
              </w:rPr>
              <w:t>Área (Ha)</w:t>
            </w:r>
          </w:p>
        </w:tc>
        <w:tc>
          <w:tcPr>
            <w:tcW w:w="1993" w:type="dxa"/>
            <w:tcBorders/>
            <w:shd w:color="auto" w:fill="70AD47" w:themeFill="accent6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b/>
                <w:color w:themeColor="background1" w:val="FFFFFF"/>
                <w:sz w:val="20"/>
                <w:szCs w:val="20"/>
              </w:rPr>
            </w:pPr>
            <w:r>
              <w:rPr>
                <w:rFonts w:eastAsia="Calibri" w:cs=""/>
                <w:b/>
                <w:color w:themeColor="background1" w:val="FFFFFF"/>
                <w:kern w:val="0"/>
                <w:sz w:val="20"/>
                <w:szCs w:val="20"/>
                <w:lang w:val="es-ES" w:eastAsia="en-US" w:bidi="ar-SA"/>
              </w:rPr>
              <w:t>% Municipal</w:t>
            </w:r>
          </w:p>
        </w:tc>
        <w:tc>
          <w:tcPr>
            <w:tcW w:w="4684" w:type="dxa"/>
            <w:tcBorders/>
            <w:shd w:color="auto" w:fill="70AD47" w:themeFill="accent6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b/>
                <w:color w:themeColor="background1" w:val="FFFFFF"/>
                <w:sz w:val="20"/>
                <w:szCs w:val="20"/>
              </w:rPr>
            </w:pPr>
            <w:r>
              <w:rPr>
                <w:rFonts w:eastAsia="Calibri" w:cs=""/>
                <w:b/>
                <w:color w:themeColor="background1" w:val="FFFFFF"/>
                <w:kern w:val="0"/>
                <w:sz w:val="20"/>
                <w:szCs w:val="20"/>
                <w:lang w:val="es-ES" w:eastAsia="en-US" w:bidi="ar-SA"/>
              </w:rPr>
              <w:t>Capas de afección (% sobre superficie municipal)</w:t>
            </w:r>
          </w:p>
        </w:tc>
      </w:tr>
      <w:tr>
        <w:trPr>
          <w:trHeight w:val="2211" w:hRule="atLeast"/>
        </w:trPr>
        <w:tc>
          <w:tcPr>
            <w:tcW w:w="1696" w:type="dxa"/>
            <w:tcBorders/>
            <w:shd w:color="auto" w:fill="FDF0E7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b/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b/>
                <w:color w:val="FF0000"/>
                <w:kern w:val="0"/>
                <w:sz w:val="20"/>
                <w:szCs w:val="20"/>
                <w:lang w:val="es-ES" w:eastAsia="en-US" w:bidi="ar-SA"/>
              </w:rPr>
              <w:t>Exclusión</w:t>
            </w:r>
          </w:p>
        </w:tc>
        <w:tc>
          <w:tcPr>
            <w:tcW w:w="1255" w:type="dxa"/>
            <w:tcBorders/>
            <w:shd w:color="auto" w:fill="FDF0E7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13.274</w:t>
            </w:r>
          </w:p>
        </w:tc>
        <w:tc>
          <w:tcPr>
            <w:tcW w:w="1993" w:type="dxa"/>
            <w:tcBorders/>
            <w:shd w:color="auto" w:fill="FDF0E7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48,17%</w:t>
            </w:r>
          </w:p>
        </w:tc>
        <w:tc>
          <w:tcPr>
            <w:tcW w:w="4684" w:type="dxa"/>
            <w:tcBorders/>
            <w:shd w:color="auto" w:fill="FDF0E7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Red Natura 2000  (51,45%)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SNU Especial Protección (Ley de Urbanismo de Aragón)  (37,22%)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Zona de pendiente &gt; 6%  (17,87%)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Vías Pecuarias  (1,22%)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Zona de arbolado  (2,09%)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Cauce Río  (0,54%)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Vías Pecuarias  (0,05%)</w:t>
            </w:r>
          </w:p>
        </w:tc>
      </w:tr>
      <w:tr>
        <w:trPr>
          <w:trHeight w:val="1134" w:hRule="atLeast"/>
        </w:trPr>
        <w:tc>
          <w:tcPr>
            <w:tcW w:w="1696" w:type="dxa"/>
            <w:tcBorders/>
            <w:shd w:color="auto" w:fill="FFFFD5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b/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b/>
                <w:color w:themeColor="accent4" w:themeShade="bf" w:val="BF8F00"/>
                <w:kern w:val="0"/>
                <w:sz w:val="20"/>
                <w:szCs w:val="20"/>
                <w:lang w:val="es-ES" w:eastAsia="en-US" w:bidi="ar-SA"/>
              </w:rPr>
              <w:t>Advertencia</w:t>
            </w:r>
          </w:p>
        </w:tc>
        <w:tc>
          <w:tcPr>
            <w:tcW w:w="1255" w:type="dxa"/>
            <w:tcBorders/>
            <w:shd w:color="auto" w:fill="FFFFD5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14.220</w:t>
            </w:r>
          </w:p>
        </w:tc>
        <w:tc>
          <w:tcPr>
            <w:tcW w:w="1993" w:type="dxa"/>
            <w:tcBorders/>
            <w:shd w:color="auto" w:fill="FFFFD5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51,60%</w:t>
            </w:r>
          </w:p>
        </w:tc>
        <w:tc>
          <w:tcPr>
            <w:tcW w:w="4684" w:type="dxa"/>
            <w:tcBorders/>
            <w:shd w:color="auto" w:fill="FFFFD5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Zonas de cultivos según MFE  (81,21%)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SNU Genérico (Ley de Urbanismo de Aragón)  (62,34%)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IBAs  (39,91%)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Arbolado ralo o disperso  (0,42%)</w:t>
            </w:r>
          </w:p>
        </w:tc>
      </w:tr>
      <w:tr>
        <w:trPr>
          <w:trHeight w:val="680" w:hRule="atLeast"/>
        </w:trPr>
        <w:tc>
          <w:tcPr>
            <w:tcW w:w="1696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b/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b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Total municipal</w:t>
            </w:r>
          </w:p>
        </w:tc>
        <w:tc>
          <w:tcPr>
            <w:tcW w:w="1255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27.534</w:t>
            </w:r>
          </w:p>
        </w:tc>
        <w:tc>
          <w:tcPr>
            <w:tcW w:w="1993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100,00%</w:t>
            </w:r>
          </w:p>
        </w:tc>
        <w:tc>
          <w:tcPr>
            <w:tcW w:w="4684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color w:themeColor="text1" w:themeTint="d9" w:val="262626"/>
                <w:sz w:val="20"/>
                <w:szCs w:val="20"/>
              </w:rPr>
            </w:pPr>
            <w:r>
              <w:rPr>
                <w:rFonts w:eastAsia="Calibri" w:cs=""/>
                <w:i/>
                <w:iCs/>
                <w:color w:themeColor="text1" w:themeTint="d9" w:val="262626"/>
                <w:kern w:val="0"/>
                <w:sz w:val="20"/>
                <w:szCs w:val="20"/>
                <w:lang w:val="es-ES" w:eastAsia="en-US" w:bidi="ar-SA"/>
              </w:rPr>
              <w:t>La suma de exclusión y advertencia puede superar el 100% por solapamiento entre capas.</w:t>
            </w:r>
          </w:p>
        </w:tc>
      </w:tr>
    </w:tbl>
    <w:p>
      <w:pPr>
        <w:pStyle w:val="Heading1"/>
        <w:numPr>
          <w:ilvl w:val="0"/>
          <w:numId w:val="2"/>
        </w:numPr>
        <w:ind w:hanging="567" w:start="567"/>
        <w:rPr/>
      </w:pPr>
      <w:r>
        <w:rPr/>
        <w:t>Análisis de parcelas por buffer</w:t>
      </w:r>
    </w:p>
    <w:p>
      <w:pPr>
        <w:pStyle w:val="ListParagraph"/>
        <w:rPr/>
      </w:pPr>
      <w:r>
        <w:rPr/>
        <w:t xml:space="preserve">Sobre el contexto territorial descrito en el apartado anterior, se presenta a continuación el resultado del proceso de </w:t>
      </w:r>
      <w:r>
        <w:rPr>
          <w:b/>
        </w:rPr>
        <w:t>filtrado de parcelas en dos fases</w:t>
      </w:r>
      <w:r>
        <w:rPr/>
        <w:t xml:space="preserve">. La </w:t>
      </w:r>
      <w:r>
        <w:rPr>
          <w:b/>
        </w:rPr>
        <w:t xml:space="preserve">primera fase aplica el prefiltrado por criterios de superficie (5-20 Ha) </w:t>
      </w:r>
      <w:r>
        <w:rPr/>
        <w:t xml:space="preserve">y distancia mínima al núcleo urbano. </w:t>
      </w:r>
      <w:r>
        <w:rPr>
          <w:b/>
        </w:rPr>
        <w:t>La segunda fase incorpora el análisis de afecciones de exclusión</w:t>
      </w:r>
      <w:r>
        <w:rPr/>
        <w:t xml:space="preserve"> a nivel parcelario, seleccionando únicamente aquellas parcelas con un ratio de superficie útil superior al 70%, es decir, aquellas en las que al menos el 70% de su superficie queda libre de capas de exclusión.</w:t>
      </w:r>
    </w:p>
    <w:p>
      <w:pPr>
        <w:pStyle w:val="ListParagraph"/>
        <w:rPr/>
      </w:pPr>
      <w:r>
        <w:rPr/>
        <w:t>Los resultados se presentan para cada anillo de buffer respecto a la red de gas, y se acumulan en la columna final.</w:t>
      </w:r>
    </w:p>
    <w:tbl>
      <w:tblPr>
        <w:tblStyle w:val="Tablaconcuadrculaclara"/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829"/>
        <w:gridCol w:w="1324"/>
        <w:gridCol w:w="1329"/>
        <w:gridCol w:w="1322"/>
        <w:gridCol w:w="1316"/>
        <w:gridCol w:w="1518"/>
      </w:tblGrid>
      <w:tr>
        <w:trPr>
          <w:trHeight w:val="397" w:hRule="atLeast"/>
        </w:trPr>
        <w:tc>
          <w:tcPr>
            <w:tcW w:w="9638" w:type="dxa"/>
            <w:gridSpan w:val="6"/>
            <w:tcBorders/>
            <w:shd w:color="auto" w:fill="538135" w:themeFill="accent6" w:themeFillShade="bf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color w:themeColor="background1" w:val="FFFFFF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background1" w:val="FFFFFF"/>
                <w:kern w:val="0"/>
                <w:sz w:val="20"/>
                <w:szCs w:val="20"/>
                <w:lang w:val="es-ES" w:eastAsia="en-US" w:bidi="ar-SA"/>
              </w:rPr>
              <w:t>Embudo de Viabilidad de Parcelas por Anillo de Buffer</w:t>
            </w:r>
          </w:p>
        </w:tc>
      </w:tr>
      <w:tr>
        <w:trPr>
          <w:trHeight w:val="624" w:hRule="atLeast"/>
        </w:trPr>
        <w:tc>
          <w:tcPr>
            <w:tcW w:w="9638" w:type="dxa"/>
            <w:gridSpan w:val="6"/>
            <w:tcBorders/>
            <w:shd w:color="auto" w:fill="E2EFD9" w:themeFill="accent6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sz w:val="18"/>
                <w:szCs w:val="18"/>
              </w:rPr>
            </w:pPr>
            <w:r>
              <w:rPr>
                <w:rFonts w:eastAsia="Calibri" w:cs="Calibri" w:cstheme="minorHAnsi"/>
                <w:kern w:val="0"/>
                <w:sz w:val="18"/>
                <w:szCs w:val="18"/>
                <w:lang w:val="es-ES" w:eastAsia="en-US" w:bidi="ar-SA"/>
              </w:rPr>
              <w:t>Municipio: Belchite (Zaragoza)  |  Totales: 11.537 parcelas / 27.534 Ha  |  Prefiltrado: 5-20 Ha + distancia mínima a núcleo urbano  |  Útiles: usefulAreaRatio &gt; 70%</w:t>
            </w:r>
          </w:p>
        </w:tc>
      </w:tr>
      <w:tr>
        <w:trPr>
          <w:trHeight w:val="397" w:hRule="atLeast"/>
        </w:trPr>
        <w:tc>
          <w:tcPr>
            <w:tcW w:w="2829" w:type="dxa"/>
            <w:tcBorders/>
            <w:shd w:color="auto" w:fill="70AD47" w:themeFill="accent6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color w:themeColor="background1" w:val="FFFFFF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background1" w:val="FFFFFF"/>
                <w:kern w:val="0"/>
                <w:sz w:val="20"/>
                <w:szCs w:val="20"/>
                <w:lang w:val="es-ES" w:eastAsia="en-US" w:bidi="ar-SA"/>
              </w:rPr>
              <w:t>Etapa del análisis</w:t>
            </w:r>
          </w:p>
        </w:tc>
        <w:tc>
          <w:tcPr>
            <w:tcW w:w="1324" w:type="dxa"/>
            <w:tcBorders/>
            <w:shd w:color="auto" w:fill="70AD47" w:themeFill="accent6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color w:themeColor="background1" w:val="FFFFFF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background1" w:val="FFFFFF"/>
                <w:kern w:val="0"/>
                <w:sz w:val="20"/>
                <w:szCs w:val="20"/>
                <w:lang w:val="es-ES" w:eastAsia="en-US" w:bidi="ar-SA"/>
              </w:rPr>
              <w:t>0-1 km</w:t>
            </w:r>
          </w:p>
        </w:tc>
        <w:tc>
          <w:tcPr>
            <w:tcW w:w="1329" w:type="dxa"/>
            <w:tcBorders/>
            <w:shd w:color="auto" w:fill="70AD47" w:themeFill="accent6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color w:themeColor="background1" w:val="FFFFFF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background1" w:val="FFFFFF"/>
                <w:kern w:val="0"/>
                <w:sz w:val="20"/>
                <w:szCs w:val="20"/>
                <w:lang w:val="es-ES" w:eastAsia="en-US" w:bidi="ar-SA"/>
              </w:rPr>
              <w:t>1-3 km</w:t>
            </w:r>
          </w:p>
        </w:tc>
        <w:tc>
          <w:tcPr>
            <w:tcW w:w="1322" w:type="dxa"/>
            <w:tcBorders/>
            <w:shd w:color="auto" w:fill="70AD47" w:themeFill="accent6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color w:themeColor="background1" w:val="FFFFFF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background1" w:val="FFFFFF"/>
                <w:kern w:val="0"/>
                <w:sz w:val="20"/>
                <w:szCs w:val="20"/>
                <w:lang w:val="es-ES" w:eastAsia="en-US" w:bidi="ar-SA"/>
              </w:rPr>
              <w:t>3-5 km</w:t>
            </w:r>
          </w:p>
        </w:tc>
        <w:tc>
          <w:tcPr>
            <w:tcW w:w="1316" w:type="dxa"/>
            <w:tcBorders/>
            <w:shd w:color="auto" w:fill="70AD47" w:themeFill="accent6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color w:themeColor="background1" w:val="FFFFFF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background1" w:val="FFFFFF"/>
                <w:kern w:val="0"/>
                <w:sz w:val="20"/>
                <w:szCs w:val="20"/>
                <w:lang w:val="es-ES" w:eastAsia="en-US" w:bidi="ar-SA"/>
              </w:rPr>
              <w:t>5-10 km</w:t>
            </w:r>
          </w:p>
        </w:tc>
        <w:tc>
          <w:tcPr>
            <w:tcW w:w="1518" w:type="dxa"/>
            <w:tcBorders/>
            <w:shd w:color="auto" w:fill="70AD47" w:themeFill="accent6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color w:themeColor="background1" w:val="FFFFFF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background1" w:val="FFFFFF"/>
                <w:kern w:val="0"/>
                <w:sz w:val="20"/>
                <w:szCs w:val="20"/>
                <w:lang w:val="es-ES" w:eastAsia="en-US" w:bidi="ar-SA"/>
              </w:rPr>
              <w:t>Acumulado</w:t>
            </w:r>
          </w:p>
        </w:tc>
      </w:tr>
      <w:tr>
        <w:trPr>
          <w:trHeight w:val="397" w:hRule="atLeast"/>
        </w:trPr>
        <w:tc>
          <w:tcPr>
            <w:tcW w:w="2829" w:type="dxa"/>
            <w:tcBorders/>
            <w:shd w:color="auto" w:fill="E2EFD9" w:themeFill="accent6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Total municipal (referencia)</w:t>
            </w:r>
          </w:p>
        </w:tc>
        <w:tc>
          <w:tcPr>
            <w:tcW w:w="1324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11.537</w:t>
            </w:r>
          </w:p>
        </w:tc>
        <w:tc>
          <w:tcPr>
            <w:tcW w:w="1329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11.537</w:t>
            </w:r>
          </w:p>
        </w:tc>
        <w:tc>
          <w:tcPr>
            <w:tcW w:w="1322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11.537</w:t>
            </w:r>
          </w:p>
        </w:tc>
        <w:tc>
          <w:tcPr>
            <w:tcW w:w="1316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11.537</w:t>
            </w:r>
          </w:p>
        </w:tc>
        <w:tc>
          <w:tcPr>
            <w:tcW w:w="151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11.537</w:t>
            </w:r>
          </w:p>
        </w:tc>
      </w:tr>
      <w:tr>
        <w:trPr>
          <w:trHeight w:val="397" w:hRule="atLeast"/>
        </w:trPr>
        <w:tc>
          <w:tcPr>
            <w:tcW w:w="2829" w:type="dxa"/>
            <w:tcBorders>
              <w:bottom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 xml:space="preserve">   </w:t>
            </w:r>
            <w:r>
              <w:rPr>
                <w:rFonts w:eastAsia="Calibri" w:cs="Cambria Math" w:ascii="Cambria Math" w:hAnsi="Cambria Math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↳</w:t>
            </w: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 xml:space="preserve"> </w:t>
            </w: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Superficie total (Ha)</w:t>
            </w:r>
          </w:p>
        </w:tc>
        <w:tc>
          <w:tcPr>
            <w:tcW w:w="1324" w:type="dxa"/>
            <w:tcBorders>
              <w:bottom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27.534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27.534</w:t>
            </w:r>
          </w:p>
        </w:tc>
        <w:tc>
          <w:tcPr>
            <w:tcW w:w="1322" w:type="dxa"/>
            <w:tcBorders>
              <w:bottom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27.534</w:t>
            </w:r>
          </w:p>
        </w:tc>
        <w:tc>
          <w:tcPr>
            <w:tcW w:w="1316" w:type="dxa"/>
            <w:tcBorders>
              <w:bottom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27.534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27.534</w:t>
            </w:r>
          </w:p>
        </w:tc>
      </w:tr>
      <w:tr>
        <w:trPr>
          <w:trHeight w:val="397" w:hRule="atLeast"/>
        </w:trPr>
        <w:tc>
          <w:tcPr>
            <w:tcW w:w="963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Prefiltrado por superficie (5-20 Ha) y distancia mínima a núcleo urbano</w:t>
            </w:r>
          </w:p>
        </w:tc>
      </w:tr>
      <w:tr>
        <w:trPr>
          <w:trHeight w:val="397" w:hRule="atLeast"/>
        </w:trPr>
        <w:tc>
          <w:tcPr>
            <w:tcW w:w="2829" w:type="dxa"/>
            <w:tcBorders>
              <w:top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Parcelas prefiltradas (n)</w:t>
            </w:r>
          </w:p>
        </w:tc>
        <w:tc>
          <w:tcPr>
            <w:tcW w:w="1324" w:type="dxa"/>
            <w:tcBorders>
              <w:top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97</w:t>
            </w:r>
          </w:p>
        </w:tc>
        <w:tc>
          <w:tcPr>
            <w:tcW w:w="1329" w:type="dxa"/>
            <w:tcBorders>
              <w:top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148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238</w:t>
            </w:r>
          </w:p>
        </w:tc>
        <w:tc>
          <w:tcPr>
            <w:tcW w:w="1316" w:type="dxa"/>
            <w:tcBorders>
              <w:top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636</w:t>
            </w:r>
          </w:p>
        </w:tc>
        <w:tc>
          <w:tcPr>
            <w:tcW w:w="1518" w:type="dxa"/>
            <w:tcBorders>
              <w:top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1119</w:t>
            </w:r>
          </w:p>
        </w:tc>
      </w:tr>
      <w:tr>
        <w:trPr>
          <w:trHeight w:val="397" w:hRule="atLeast"/>
        </w:trPr>
        <w:tc>
          <w:tcPr>
            <w:tcW w:w="2829" w:type="dxa"/>
            <w:tcBorders/>
            <w:shd w:color="auto" w:fill="E2EFD9" w:themeFill="accent6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 xml:space="preserve">   </w:t>
            </w:r>
            <w:r>
              <w:rPr>
                <w:rFonts w:eastAsia="Calibri" w:cs="Cambria Math" w:ascii="Cambria Math" w:hAnsi="Cambria Math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↳</w:t>
            </w: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 xml:space="preserve"> </w:t>
            </w: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Superficie prefiltrada (Ha)</w:t>
            </w:r>
          </w:p>
        </w:tc>
        <w:tc>
          <w:tcPr>
            <w:tcW w:w="1324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946</w:t>
            </w:r>
          </w:p>
        </w:tc>
        <w:tc>
          <w:tcPr>
            <w:tcW w:w="1329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1286</w:t>
            </w:r>
          </w:p>
        </w:tc>
        <w:tc>
          <w:tcPr>
            <w:tcW w:w="1322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2338</w:t>
            </w:r>
          </w:p>
        </w:tc>
        <w:tc>
          <w:tcPr>
            <w:tcW w:w="1316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6035</w:t>
            </w:r>
          </w:p>
        </w:tc>
        <w:tc>
          <w:tcPr>
            <w:tcW w:w="1518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10.605</w:t>
            </w:r>
            <w:bookmarkStart w:id="0" w:name="_GoBack"/>
            <w:bookmarkEnd w:id="0"/>
          </w:p>
        </w:tc>
      </w:tr>
      <w:tr>
        <w:trPr>
          <w:trHeight w:val="397" w:hRule="atLeast"/>
        </w:trPr>
        <w:tc>
          <w:tcPr>
            <w:tcW w:w="2829" w:type="dxa"/>
            <w:tcBorders>
              <w:bottom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 xml:space="preserve">   </w:t>
            </w:r>
            <w:r>
              <w:rPr>
                <w:rFonts w:eastAsia="Calibri" w:cs="Cambria Math" w:ascii="Cambria Math" w:hAnsi="Cambria Math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↳</w:t>
            </w: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 xml:space="preserve"> </w:t>
            </w: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% sobre total (Ha)</w:t>
            </w:r>
          </w:p>
        </w:tc>
        <w:tc>
          <w:tcPr>
            <w:tcW w:w="1324" w:type="dxa"/>
            <w:tcBorders>
              <w:bottom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3,44%</w:t>
            </w:r>
          </w:p>
        </w:tc>
        <w:tc>
          <w:tcPr>
            <w:tcW w:w="1329" w:type="dxa"/>
            <w:tcBorders>
              <w:bottom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4,67%</w:t>
            </w:r>
          </w:p>
        </w:tc>
        <w:tc>
          <w:tcPr>
            <w:tcW w:w="1322" w:type="dxa"/>
            <w:tcBorders>
              <w:bottom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8,49%</w:t>
            </w:r>
          </w:p>
        </w:tc>
        <w:tc>
          <w:tcPr>
            <w:tcW w:w="1316" w:type="dxa"/>
            <w:tcBorders>
              <w:bottom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21,92%</w:t>
            </w:r>
          </w:p>
        </w:tc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38,52%</w:t>
            </w:r>
          </w:p>
        </w:tc>
      </w:tr>
      <w:tr>
        <w:trPr>
          <w:trHeight w:val="397" w:hRule="atLeast"/>
        </w:trPr>
        <w:tc>
          <w:tcPr>
            <w:tcW w:w="9638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Segundo filtro: ratio de zona útil &gt; 70% (área de la parcela libre de afecciones de exclusión)</w:t>
            </w:r>
          </w:p>
        </w:tc>
      </w:tr>
      <w:tr>
        <w:trPr>
          <w:trHeight w:val="397" w:hRule="atLeast"/>
        </w:trPr>
        <w:tc>
          <w:tcPr>
            <w:tcW w:w="2829" w:type="dxa"/>
            <w:tcBorders>
              <w:top w:val="single" w:sz="4" w:space="0" w:color="000000"/>
            </w:tcBorders>
            <w:shd w:color="auto" w:fill="E2EFD9" w:themeFill="accent6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Parcelas útiles (n)</w:t>
            </w:r>
          </w:p>
        </w:tc>
        <w:tc>
          <w:tcPr>
            <w:tcW w:w="1324" w:type="dxa"/>
            <w:tcBorders>
              <w:top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27</w:t>
            </w:r>
          </w:p>
        </w:tc>
        <w:tc>
          <w:tcPr>
            <w:tcW w:w="1329" w:type="dxa"/>
            <w:tcBorders>
              <w:top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28</w:t>
            </w:r>
          </w:p>
        </w:tc>
        <w:tc>
          <w:tcPr>
            <w:tcW w:w="1322" w:type="dxa"/>
            <w:tcBorders>
              <w:top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52</w:t>
            </w:r>
          </w:p>
        </w:tc>
        <w:tc>
          <w:tcPr>
            <w:tcW w:w="1316" w:type="dxa"/>
            <w:tcBorders>
              <w:top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143</w:t>
            </w:r>
          </w:p>
        </w:tc>
        <w:tc>
          <w:tcPr>
            <w:tcW w:w="1518" w:type="dxa"/>
            <w:tcBorders>
              <w:top w:val="single" w:sz="4" w:space="0" w:color="000000"/>
            </w:tcBorders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250</w:t>
            </w:r>
          </w:p>
        </w:tc>
      </w:tr>
      <w:tr>
        <w:trPr>
          <w:trHeight w:val="397" w:hRule="atLeast"/>
        </w:trPr>
        <w:tc>
          <w:tcPr>
            <w:tcW w:w="2829" w:type="dxa"/>
            <w:tcBorders/>
            <w:shd w:color="auto" w:fill="E2EFD9" w:themeFill="accent6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 xml:space="preserve">   </w:t>
            </w:r>
            <w:r>
              <w:rPr>
                <w:rFonts w:eastAsia="Calibri" w:cs="Cambria Math" w:ascii="Cambria Math" w:hAnsi="Cambria Math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↳</w:t>
            </w: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 xml:space="preserve"> </w:t>
            </w: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Superficie útil (Ha)</w:t>
            </w:r>
          </w:p>
        </w:tc>
        <w:tc>
          <w:tcPr>
            <w:tcW w:w="1324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262</w:t>
            </w:r>
          </w:p>
        </w:tc>
        <w:tc>
          <w:tcPr>
            <w:tcW w:w="1329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250</w:t>
            </w:r>
          </w:p>
        </w:tc>
        <w:tc>
          <w:tcPr>
            <w:tcW w:w="1322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572</w:t>
            </w:r>
          </w:p>
        </w:tc>
        <w:tc>
          <w:tcPr>
            <w:tcW w:w="1316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1447</w:t>
            </w:r>
          </w:p>
        </w:tc>
        <w:tc>
          <w:tcPr>
            <w:tcW w:w="1518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2531</w:t>
            </w:r>
          </w:p>
        </w:tc>
      </w:tr>
      <w:tr>
        <w:trPr>
          <w:trHeight w:val="397" w:hRule="atLeast"/>
        </w:trPr>
        <w:tc>
          <w:tcPr>
            <w:tcW w:w="2829" w:type="dxa"/>
            <w:tcBorders/>
            <w:shd w:color="auto" w:fill="E2EFD9" w:themeFill="accent6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 xml:space="preserve">   </w:t>
            </w:r>
            <w:r>
              <w:rPr>
                <w:rFonts w:eastAsia="Calibri" w:cs="Cambria Math" w:ascii="Cambria Math" w:hAnsi="Cambria Math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↳</w:t>
            </w: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 xml:space="preserve"> </w:t>
            </w: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% sobre total (Ha)</w:t>
            </w:r>
          </w:p>
        </w:tc>
        <w:tc>
          <w:tcPr>
            <w:tcW w:w="1324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0,95%</w:t>
            </w:r>
          </w:p>
        </w:tc>
        <w:tc>
          <w:tcPr>
            <w:tcW w:w="1329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0,91%</w:t>
            </w:r>
          </w:p>
        </w:tc>
        <w:tc>
          <w:tcPr>
            <w:tcW w:w="1322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2,08%</w:t>
            </w:r>
          </w:p>
        </w:tc>
        <w:tc>
          <w:tcPr>
            <w:tcW w:w="1316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5,26%</w:t>
            </w:r>
          </w:p>
        </w:tc>
        <w:tc>
          <w:tcPr>
            <w:tcW w:w="151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9,19%</w:t>
            </w:r>
          </w:p>
        </w:tc>
      </w:tr>
      <w:tr>
        <w:trPr>
          <w:trHeight w:val="397" w:hRule="atLeast"/>
        </w:trPr>
        <w:tc>
          <w:tcPr>
            <w:tcW w:w="2829" w:type="dxa"/>
            <w:tcBorders/>
            <w:shd w:color="auto" w:fill="E2EFD9" w:themeFill="accent6" w:themeFillTint="33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b/>
                <w:color w:themeColor="accent6" w:themeShade="80" w:val="385623"/>
                <w:sz w:val="20"/>
                <w:szCs w:val="20"/>
              </w:rPr>
            </w:pP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 xml:space="preserve">   </w:t>
            </w:r>
            <w:r>
              <w:rPr>
                <w:rFonts w:eastAsia="Calibri" w:cs="Cambria Math" w:ascii="Cambria Math" w:hAnsi="Cambria Math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↳</w:t>
            </w: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 xml:space="preserve"> </w:t>
            </w:r>
            <w:r>
              <w:rPr>
                <w:rFonts w:eastAsia="Calibri" w:cs="Calibri" w:cstheme="minorHAnsi"/>
                <w:b/>
                <w:color w:themeColor="accent6" w:themeShade="80" w:val="385623"/>
                <w:kern w:val="0"/>
                <w:sz w:val="20"/>
                <w:szCs w:val="20"/>
                <w:lang w:val="es-ES" w:eastAsia="en-US" w:bidi="ar-SA"/>
              </w:rPr>
              <w:t>% útiles / prefiltradas (n)</w:t>
            </w:r>
          </w:p>
        </w:tc>
        <w:tc>
          <w:tcPr>
            <w:tcW w:w="1324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27,84%</w:t>
            </w:r>
          </w:p>
        </w:tc>
        <w:tc>
          <w:tcPr>
            <w:tcW w:w="1329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18,92%</w:t>
            </w:r>
          </w:p>
        </w:tc>
        <w:tc>
          <w:tcPr>
            <w:tcW w:w="1322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21,85%</w:t>
            </w:r>
          </w:p>
        </w:tc>
        <w:tc>
          <w:tcPr>
            <w:tcW w:w="1316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22,48%</w:t>
            </w:r>
          </w:p>
        </w:tc>
        <w:tc>
          <w:tcPr>
            <w:tcW w:w="1518" w:type="dxa"/>
            <w:tcBorders/>
            <w:shd w:color="auto" w:fill="F4F9F1" w:val="clear"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start"/>
              <w:rPr>
                <w:rFonts w:cs="Calibri" w:cstheme="minorHAnsi"/>
                <w:sz w:val="20"/>
                <w:szCs w:val="20"/>
              </w:rPr>
            </w:pPr>
            <w:r>
              <w:rPr>
                <w:rFonts w:eastAsia="Calibri" w:cs="Calibri" w:cstheme="minorHAnsi"/>
                <w:kern w:val="0"/>
                <w:sz w:val="20"/>
                <w:szCs w:val="20"/>
                <w:lang w:val="es-ES" w:eastAsia="en-US" w:bidi="ar-SA"/>
              </w:rPr>
              <w:t>22,34%</w:t>
            </w:r>
          </w:p>
        </w:tc>
      </w:tr>
    </w:tbl>
    <w:p>
      <w:pPr>
        <w:pStyle w:val="Heading1"/>
        <w:numPr>
          <w:ilvl w:val="0"/>
          <w:numId w:val="2"/>
        </w:numPr>
        <w:ind w:hanging="567" w:start="567"/>
        <w:rPr/>
      </w:pPr>
      <w:r>
        <w:rPr/>
        <w:t>Conclusiones</w:t>
      </w:r>
    </w:p>
    <w:p>
      <w:pPr>
        <w:pStyle w:val="ListParagraph"/>
        <w:rPr/>
      </w:pPr>
      <w:r>
        <w:rPr/>
        <w:t xml:space="preserve">El municipio presenta una elevada carga de afecciones territoriales, con prácticamente la totalidad de su superficie afectada por </w:t>
      </w:r>
      <w:r>
        <w:rPr>
          <w:b/>
        </w:rPr>
        <w:t xml:space="preserve">capas de exclusión (48,17%) </w:t>
      </w:r>
      <w:r>
        <w:rPr/>
        <w:t>o</w:t>
      </w:r>
      <w:r>
        <w:rPr>
          <w:b/>
        </w:rPr>
        <w:t xml:space="preserve"> advertencia (51,60%)</w:t>
      </w:r>
      <w:r>
        <w:rPr/>
        <w:t>. Este contexto no impide el desarrollo de proyectos, pero implica que cualquier emplazamiento deberá ser analizado individualmente desde el punto de vista ambiental y urbanístico.</w:t>
      </w:r>
    </w:p>
    <w:p>
      <w:pPr>
        <w:pStyle w:val="ListParagraph"/>
        <w:rPr/>
      </w:pPr>
      <w:r>
        <w:rPr/>
        <w:t>El proceso de filtrado reduce el universo de partida de 11.537 parcelas municipales a</w:t>
      </w:r>
      <w:r>
        <w:rPr>
          <w:b/>
        </w:rPr>
        <w:t xml:space="preserve"> 250 parcelas útiles,</w:t>
      </w:r>
      <w:r>
        <w:rPr/>
        <w:t xml:space="preserve"> lo que supone una tasa de viabilidad acumulada del </w:t>
      </w:r>
      <w:r>
        <w:rPr>
          <w:b/>
        </w:rPr>
        <w:t>22,34% sobre el prefiltrado</w:t>
      </w:r>
      <w:r>
        <w:rPr/>
        <w:t xml:space="preserve">. Estas 250 parcelas suman 2.531 Ha y se distribuyen a lo largo del término con </w:t>
      </w:r>
      <w:r>
        <w:rPr>
          <w:b/>
        </w:rPr>
        <w:t>mayor concentración en el anillo de 5-10 km</w:t>
      </w:r>
      <w:r>
        <w:rPr/>
        <w:t>.</w:t>
      </w:r>
    </w:p>
    <w:p>
      <w:pPr>
        <w:pStyle w:val="ListParagraph"/>
        <w:widowControl w:val="false"/>
        <w:spacing w:lineRule="auto" w:line="300" w:before="120" w:after="240"/>
        <w:ind w:hanging="0"/>
        <w:rPr/>
      </w:pPr>
      <w:r>
        <w:rPr/>
        <w:t>Desde el punto de vista de la viabilidad económica del proyecto, los anillos interiores (0-1 km y 1-3 km) presentan las condiciones más favorables al minimizar la longitud del ramal de conexión a la red de gas. El anillo de 3-5 km ofrece un equilibrio razonable entre disponibilidad de parcelas y distancia a la infraestructura. El anillo de 5-10 km introduce costes de conexión adicionales que deberán ser evaluados en el análisis económico del proyecto.</w:t>
      </w:r>
    </w:p>
    <w:sectPr>
      <w:footerReference w:type="even" r:id="rId7"/>
      <w:footerReference w:type="default" r:id="rId8"/>
      <w:footerReference w:type="first" r:id="rId9"/>
      <w:type w:val="nextPage"/>
      <w:pgSz w:w="11906" w:h="16838"/>
      <w:pgMar w:left="1134" w:right="1134" w:gutter="0" w:header="0" w:top="1304" w:footer="113" w:bottom="1304"/>
      <w:pgNumType w:start="0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Calibri Light">
    <w:charset w:val="01" w:characterSet="utf-8"/>
    <w:family w:val="swiss"/>
    <w:pitch w:val="variable"/>
  </w:font>
  <w:font w:name="Segoe UI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1"/>
    <w:family w:val="swiss"/>
    <w:pitch w:val="default"/>
  </w:font>
  <w:font w:name="Cambria Math">
    <w:charset w:val="01" w:characterSet="utf-8"/>
    <w:family w:val="roman"/>
    <w:pitch w:val="variable"/>
  </w:font>
  <w:font w:name="Bahnschrift SemiBold SemiConden"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0"/>
      <w:ind w:hanging="0"/>
      <w:rPr/>
    </w:pPr>
    <w:r>
      <w:rPr/>
      <mc:AlternateContent>
        <mc:Choice Requires="wps">
          <w:drawing>
            <wp:anchor behindDoc="1" distT="0" distB="9525" distL="0" distR="0" simplePos="0" locked="0" layoutInCell="0" allowOverlap="1" relativeHeight="10" wp14:anchorId="1911B6C2">
              <wp:simplePos x="0" y="0"/>
              <wp:positionH relativeFrom="page">
                <wp:posOffset>6762750</wp:posOffset>
              </wp:positionH>
              <wp:positionV relativeFrom="page">
                <wp:posOffset>9972040</wp:posOffset>
              </wp:positionV>
              <wp:extent cx="786130" cy="714375"/>
              <wp:effectExtent l="0" t="0" r="0" b="9525"/>
              <wp:wrapNone/>
              <wp:docPr id="7" name="Triángulo isósceles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6240" cy="71424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chemeClr val="accent6">
                          <a:lumMod val="20000"/>
                          <a:lumOff val="80000"/>
                        </a:schemeClr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sdt>
                          <w:sdtPr>
                            <w:docPartObj>
                              <w:docPartGallery w:val="Page Numbers (Bottom of Page)"/>
                              <w:docPartUnique w:val="true"/>
                            </w:docPartObj>
                            <w:id w:val="1461535061"/>
                          </w:sdtPr>
                          <w:sdtContent>
                            <w:p>
                              <w:pPr>
                                <w:pStyle w:val="ListParagraph"/>
                                <w:spacing w:beforeAutospacing="1" w:after="0"/>
                                <w:ind w:hanging="0" w:start="-57" w:end="113"/>
                                <w:jc w:val="start"/>
                                <w:rPr>
                                  <w:rFonts w:ascii="Bahnschrift SemiBold SemiConden" w:hAnsi="Bahnschrift SemiBold SemiConden"/>
                                  <w:color w:themeColor="accent6" w:themeShade="bf" w:val="538135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ahnschrift SemiBold SemiConden" w:hAnsi="Bahnschrift SemiBold SemiConden"/>
                                  <w:color w:themeColor="accent6" w:themeShade="bf" w:val="538135"/>
                                  <w:sz w:val="32"/>
                                  <w:szCs w:val="32"/>
                                </w:rPr>
                                <w:fldChar w:fldCharType="begin"/>
                              </w:r>
                              <w:r>
                                <w:rPr>
                                  <w:rFonts w:ascii="Bahnschrift SemiBold SemiConden" w:hAnsi="Bahnschrift SemiBold SemiConden"/>
                                  <w:color w:themeColor="accent6" w:themeShade="bf" w:val="538135"/>
                                  <w:sz w:val="32"/>
                                  <w:szCs w:val="32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Fonts w:ascii="Bahnschrift SemiBold SemiConden" w:hAnsi="Bahnschrift SemiBold SemiConden"/>
                                  <w:color w:themeColor="accent6" w:themeShade="bf" w:val="538135"/>
                                  <w:sz w:val="32"/>
                                  <w:szCs w:val="3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Bahnschrift SemiBold SemiConden" w:hAnsi="Bahnschrift SemiBold SemiConden"/>
                                  <w:color w:themeColor="accent6" w:themeShade="bf" w:val="538135"/>
                                  <w:sz w:val="32"/>
                                  <w:szCs w:val="32"/>
                                </w:rPr>
                                <w:t>4</w:t>
                              </w:r>
                              <w:r>
                                <w:rPr>
                                  <w:rFonts w:ascii="Bahnschrift SemiBold SemiConden" w:hAnsi="Bahnschrift SemiBold SemiConden"/>
                                  <w:color w:themeColor="accent6" w:themeShade="bf" w:val="538135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5" coordsize="21600,21600" o:spt="5" adj="10800" path="m,21600l@0,l21600,21600xe">
              <v:stroke joinstyle="miter"/>
              <v:formulas>
                <v:f eqn="val #0"/>
                <v:f eqn="prod 1 @0 2"/>
                <v:f eqn="sum @1 10800 0"/>
              </v:formulas>
              <v:path gradientshapeok="t" o:connecttype="rect" textboxrect="@1,10800,@2,21600"/>
              <v:handles>
                <v:h position="@0,0"/>
              </v:handles>
            </v:shapetype>
            <v:shape id="shape_0" path="l-2147483641,0l-2147483635,-2147483636xe" fillcolor="#e2f0d9" stroked="f" o:allowincell="f" style="position:absolute;margin-left:532.5pt;margin-top:785.2pt;width:61.85pt;height:56.2pt;mso-wrap-style:square;v-text-anchor:top;mso-position-horizontal-relative:page;mso-position-vertical-relative:page" wp14:anchorId="1911B6C2" type="_x0000_t5">
              <v:fill o:detectmouseclick="t" type="solid" color2="#1d0f26"/>
              <v:stroke color="#3465a4" joinstyle="round" endcap="flat"/>
              <v:textbox>
                <w:txbxContent>
                  <w:sdt>
                    <w:sdtPr>
                      <w:docPartObj>
                        <w:docPartGallery w:val="Page Numbers (Bottom of Page)"/>
                        <w:docPartUnique w:val="true"/>
                      </w:docPartObj>
                      <w:id w:val="1461535061"/>
                    </w:sdtPr>
                    <w:sdtContent>
                      <w:p>
                        <w:pPr>
                          <w:pStyle w:val="ListParagraph"/>
                          <w:spacing w:beforeAutospacing="1" w:after="0"/>
                          <w:ind w:hanging="0" w:start="-57" w:end="113"/>
                          <w:jc w:val="start"/>
                          <w:rPr>
                            <w:rFonts w:ascii="Bahnschrift SemiBold SemiConden" w:hAnsi="Bahnschrift SemiBold SemiConden"/>
                            <w:color w:themeColor="accent6" w:themeShade="bf" w:val="538135"/>
                            <w:sz w:val="32"/>
                            <w:szCs w:val="32"/>
                          </w:rPr>
                        </w:pPr>
                        <w:r>
                          <w:rPr>
                            <w:rFonts w:ascii="Bahnschrift SemiBold SemiConden" w:hAnsi="Bahnschrift SemiBold SemiConden"/>
                            <w:color w:themeColor="accent6" w:themeShade="bf" w:val="538135"/>
                            <w:sz w:val="32"/>
                            <w:szCs w:val="32"/>
                          </w:rPr>
                          <w:fldChar w:fldCharType="begin"/>
                        </w:r>
                        <w:r>
                          <w:rPr>
                            <w:rFonts w:ascii="Bahnschrift SemiBold SemiConden" w:hAnsi="Bahnschrift SemiBold SemiConden"/>
                            <w:color w:themeColor="accent6" w:themeShade="bf" w:val="538135"/>
                            <w:sz w:val="32"/>
                            <w:szCs w:val="32"/>
                          </w:rPr>
                          <w:instrText xml:space="preserve"> PAGE </w:instrText>
                        </w:r>
                        <w:r>
                          <w:rPr>
                            <w:rFonts w:ascii="Bahnschrift SemiBold SemiConden" w:hAnsi="Bahnschrift SemiBold SemiConden"/>
                            <w:color w:themeColor="accent6" w:themeShade="bf" w:val="538135"/>
                            <w:sz w:val="32"/>
                            <w:szCs w:val="32"/>
                          </w:rPr>
                          <w:fldChar w:fldCharType="separate"/>
                        </w:r>
                        <w:r>
                          <w:rPr>
                            <w:rFonts w:ascii="Bahnschrift SemiBold SemiConden" w:hAnsi="Bahnschrift SemiBold SemiConden"/>
                            <w:color w:themeColor="accent6" w:themeShade="bf" w:val="538135"/>
                            <w:sz w:val="32"/>
                            <w:szCs w:val="32"/>
                          </w:rPr>
                          <w:t>4</w:t>
                        </w:r>
                        <w:r>
                          <w:rPr>
                            <w:rFonts w:ascii="Bahnschrift SemiBold SemiConden" w:hAnsi="Bahnschrift SemiBold SemiConden"/>
                            <w:color w:themeColor="accent6" w:themeShade="bf" w:val="538135"/>
                            <w:sz w:val="32"/>
                            <w:szCs w:val="32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none"/>
            </v:shape>
          </w:pict>
        </mc:Fallback>
      </mc:AlternateContent>
      <w:drawing>
        <wp:anchor behindDoc="1" distT="0" distB="0" distL="0" distR="114300" simplePos="0" locked="0" layoutInCell="0" allowOverlap="1" relativeHeight="15">
          <wp:simplePos x="0" y="0"/>
          <wp:positionH relativeFrom="margin">
            <wp:align>left</wp:align>
          </wp:positionH>
          <wp:positionV relativeFrom="paragraph">
            <wp:posOffset>-254000</wp:posOffset>
          </wp:positionV>
          <wp:extent cx="1398905" cy="252095"/>
          <wp:effectExtent l="0" t="0" r="0" b="0"/>
          <wp:wrapTopAndBottom/>
          <wp:docPr id="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120" w:after="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1854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pStyle w:val="Heading9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abstractNum w:abstractNumId="2">
    <w:lvl w:ilvl="0">
      <w:start w:val="1"/>
      <w:numFmt w:val="decimal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1854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335a4"/>
    <w:pPr>
      <w:widowControl/>
      <w:suppressAutoHyphens w:val="true"/>
      <w:bidi w:val="0"/>
      <w:spacing w:lineRule="auto" w:line="360" w:before="120" w:after="0"/>
      <w:ind w:firstLine="340"/>
      <w:jc w:val="both"/>
    </w:pPr>
    <w:rPr>
      <w:rFonts w:ascii="Arial" w:hAnsi="Arial" w:eastAsia="Calibri" w:cs="" w:cstheme="minorBidi" w:eastAsiaTheme="minorHAnsi"/>
      <w:color w:val="auto"/>
      <w:kern w:val="0"/>
      <w:sz w:val="20"/>
      <w:szCs w:val="22"/>
      <w:lang w:val="es-ES" w:eastAsia="en-US" w:bidi="ar-SA"/>
    </w:rPr>
  </w:style>
  <w:style w:type="paragraph" w:styleId="Heading1">
    <w:name w:val="heading 1"/>
    <w:basedOn w:val="Normal"/>
    <w:next w:val="Normal"/>
    <w:link w:val="Ttulo1Car"/>
    <w:uiPriority w:val="9"/>
    <w:qFormat/>
    <w:rsid w:val="00b30ef8"/>
    <w:pPr>
      <w:keepNext w:val="true"/>
      <w:keepLines/>
      <w:numPr>
        <w:ilvl w:val="0"/>
        <w:numId w:val="2"/>
      </w:numPr>
      <w:spacing w:before="600" w:after="360"/>
      <w:ind w:hanging="567" w:start="567"/>
      <w:outlineLvl w:val="0"/>
    </w:pPr>
    <w:rPr>
      <w:rFonts w:ascii="Times New Roman" w:hAnsi="Times New Roman" w:eastAsia="" w:cs="" w:cstheme="majorBidi" w:eastAsiaTheme="majorEastAsia"/>
      <w:b/>
      <w:caps/>
      <w:sz w:val="24"/>
      <w:szCs w:val="32"/>
    </w:rPr>
  </w:style>
  <w:style w:type="paragraph" w:styleId="Heading2">
    <w:name w:val="heading 2"/>
    <w:basedOn w:val="Normal"/>
    <w:next w:val="ListParagraph"/>
    <w:link w:val="Ttulo2Car"/>
    <w:uiPriority w:val="9"/>
    <w:unhideWhenUsed/>
    <w:qFormat/>
    <w:rsid w:val="00c405c3"/>
    <w:pPr>
      <w:keepNext w:val="true"/>
      <w:numPr>
        <w:ilvl w:val="1"/>
        <w:numId w:val="2"/>
      </w:numPr>
      <w:spacing w:lineRule="auto" w:line="300" w:before="360" w:after="240"/>
      <w:ind w:hanging="737" w:start="907"/>
      <w:outlineLvl w:val="1"/>
    </w:pPr>
    <w:rPr>
      <w:rFonts w:ascii="Times New Roman" w:hAnsi="Times New Roman" w:eastAsia="" w:cs="" w:cstheme="majorBidi" w:eastAsiaTheme="majorEastAsia"/>
      <w:b/>
      <w:color w:themeColor="text1" w:val="000000"/>
      <w:sz w:val="24"/>
      <w:szCs w:val="26"/>
    </w:rPr>
  </w:style>
  <w:style w:type="paragraph" w:styleId="Heading3">
    <w:name w:val="heading 3"/>
    <w:basedOn w:val="Normal"/>
    <w:next w:val="Normal"/>
    <w:link w:val="Ttulo3Car"/>
    <w:uiPriority w:val="9"/>
    <w:unhideWhenUsed/>
    <w:qFormat/>
    <w:rsid w:val="00c405c3"/>
    <w:pPr>
      <w:keepNext w:val="true"/>
      <w:numPr>
        <w:ilvl w:val="2"/>
        <w:numId w:val="2"/>
      </w:numPr>
      <w:spacing w:lineRule="auto" w:line="300" w:before="360" w:after="240"/>
      <w:ind w:hanging="907" w:start="1247"/>
      <w:outlineLvl w:val="2"/>
    </w:pPr>
    <w:rPr>
      <w:rFonts w:ascii="Times New Roman" w:hAnsi="Times New Roman" w:eastAsia="" w:cs="" w:cstheme="majorBidi" w:eastAsiaTheme="majorEastAsia"/>
      <w:b/>
      <w:i/>
      <w:color w:themeColor="text1" w:val="000000"/>
      <w:sz w:val="24"/>
      <w:szCs w:val="24"/>
    </w:rPr>
  </w:style>
  <w:style w:type="paragraph" w:styleId="Heading4">
    <w:name w:val="heading 4"/>
    <w:basedOn w:val="Normal"/>
    <w:next w:val="Normal"/>
    <w:link w:val="Ttulo4Car"/>
    <w:uiPriority w:val="9"/>
    <w:unhideWhenUsed/>
    <w:qFormat/>
    <w:rsid w:val="00c405c3"/>
    <w:pPr>
      <w:keepNext w:val="true"/>
      <w:keepLines/>
      <w:numPr>
        <w:ilvl w:val="3"/>
        <w:numId w:val="2"/>
      </w:numPr>
      <w:spacing w:lineRule="auto" w:line="300" w:before="240" w:after="360"/>
      <w:ind w:hanging="1077" w:start="1587"/>
      <w:outlineLvl w:val="3"/>
    </w:pPr>
    <w:rPr>
      <w:rFonts w:ascii="Times New Roman" w:hAnsi="Times New Roman" w:eastAsia="" w:cs="" w:cstheme="majorBidi" w:eastAsiaTheme="majorEastAsia"/>
      <w:b/>
      <w:i/>
      <w:iCs/>
      <w:sz w:val="24"/>
    </w:rPr>
  </w:style>
  <w:style w:type="paragraph" w:styleId="Heading5">
    <w:name w:val="heading 5"/>
    <w:basedOn w:val="Normal"/>
    <w:next w:val="Normal"/>
    <w:link w:val="Ttulo5Car"/>
    <w:uiPriority w:val="9"/>
    <w:unhideWhenUsed/>
    <w:qFormat/>
    <w:rsid w:val="00f335a4"/>
    <w:pPr>
      <w:keepNext w:val="true"/>
      <w:keepLines/>
      <w:numPr>
        <w:ilvl w:val="4"/>
        <w:numId w:val="2"/>
      </w:numPr>
      <w:spacing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</w:rPr>
  </w:style>
  <w:style w:type="paragraph" w:styleId="Heading6">
    <w:name w:val="heading 6"/>
    <w:basedOn w:val="Normal"/>
    <w:next w:val="Normal"/>
    <w:link w:val="Ttulo6Car"/>
    <w:uiPriority w:val="9"/>
    <w:unhideWhenUsed/>
    <w:qFormat/>
    <w:rsid w:val="00f335a4"/>
    <w:pPr>
      <w:keepNext w:val="true"/>
      <w:keepLines/>
      <w:numPr>
        <w:ilvl w:val="5"/>
        <w:numId w:val="2"/>
      </w:numPr>
      <w:spacing w:before="40" w:after="0"/>
      <w:outlineLvl w:val="5"/>
    </w:pPr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</w:rPr>
  </w:style>
  <w:style w:type="paragraph" w:styleId="Heading7">
    <w:name w:val="heading 7"/>
    <w:basedOn w:val="Normal"/>
    <w:next w:val="Normal"/>
    <w:link w:val="Ttulo7Car"/>
    <w:uiPriority w:val="9"/>
    <w:semiHidden/>
    <w:unhideWhenUsed/>
    <w:qFormat/>
    <w:rsid w:val="00f335a4"/>
    <w:pPr>
      <w:keepNext w:val="true"/>
      <w:keepLines/>
      <w:numPr>
        <w:ilvl w:val="6"/>
        <w:numId w:val="2"/>
      </w:numPr>
      <w:spacing w:before="40" w:after="0"/>
      <w:outlineLvl w:val="6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</w:rPr>
  </w:style>
  <w:style w:type="paragraph" w:styleId="Heading8">
    <w:name w:val="heading 8"/>
    <w:basedOn w:val="Normal"/>
    <w:next w:val="Normal"/>
    <w:link w:val="Ttulo8Car"/>
    <w:uiPriority w:val="9"/>
    <w:semiHidden/>
    <w:unhideWhenUsed/>
    <w:qFormat/>
    <w:rsid w:val="00f335a4"/>
    <w:pPr>
      <w:keepNext w:val="true"/>
      <w:keepLines/>
      <w:numPr>
        <w:ilvl w:val="7"/>
        <w:numId w:val="2"/>
      </w:numPr>
      <w:spacing w:before="40" w:after="0"/>
      <w:outlineLvl w:val="7"/>
    </w:pPr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paragraph" w:styleId="Heading9">
    <w:name w:val="heading 9"/>
    <w:basedOn w:val="Normal"/>
    <w:next w:val="Normal"/>
    <w:link w:val="Ttulo9Car"/>
    <w:uiPriority w:val="9"/>
    <w:semiHidden/>
    <w:unhideWhenUsed/>
    <w:qFormat/>
    <w:rsid w:val="00f335a4"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ar" w:customStyle="1">
    <w:name w:val="Título 1 Car"/>
    <w:basedOn w:val="DefaultParagraphFont"/>
    <w:link w:val="Heading1"/>
    <w:uiPriority w:val="9"/>
    <w:qFormat/>
    <w:rsid w:val="00b30ef8"/>
    <w:rPr>
      <w:rFonts w:ascii="Times New Roman" w:hAnsi="Times New Roman" w:eastAsia="" w:cs="" w:cstheme="majorBidi" w:eastAsiaTheme="majorEastAsia"/>
      <w:b/>
      <w:caps/>
      <w:sz w:val="24"/>
      <w:szCs w:val="32"/>
    </w:rPr>
  </w:style>
  <w:style w:type="character" w:styleId="EncabezadoCar" w:customStyle="1">
    <w:name w:val="Encabezado Car"/>
    <w:basedOn w:val="DefaultParagraphFont"/>
    <w:link w:val="Header"/>
    <w:uiPriority w:val="99"/>
    <w:qFormat/>
    <w:rsid w:val="00570414"/>
    <w:rPr>
      <w:rFonts w:ascii="Times New Roman" w:hAnsi="Times New Roman"/>
      <w:sz w:val="24"/>
    </w:rPr>
  </w:style>
  <w:style w:type="character" w:styleId="PiedepginaCar" w:customStyle="1">
    <w:name w:val="Pie de página Car"/>
    <w:basedOn w:val="DefaultParagraphFont"/>
    <w:link w:val="Footer"/>
    <w:uiPriority w:val="99"/>
    <w:qFormat/>
    <w:rsid w:val="00570414"/>
    <w:rPr>
      <w:rFonts w:ascii="Times New Roman" w:hAnsi="Times New Roman"/>
      <w:sz w:val="24"/>
    </w:rPr>
  </w:style>
  <w:style w:type="character" w:styleId="Ttulo2Car" w:customStyle="1">
    <w:name w:val="Título 2 Car"/>
    <w:basedOn w:val="DefaultParagraphFont"/>
    <w:link w:val="Heading2"/>
    <w:uiPriority w:val="9"/>
    <w:qFormat/>
    <w:rsid w:val="00c405c3"/>
    <w:rPr>
      <w:rFonts w:ascii="Times New Roman" w:hAnsi="Times New Roman" w:eastAsia="" w:cs="" w:cstheme="majorBidi" w:eastAsiaTheme="majorEastAsia"/>
      <w:b/>
      <w:color w:themeColor="text1" w:val="000000"/>
      <w:sz w:val="24"/>
      <w:szCs w:val="26"/>
    </w:rPr>
  </w:style>
  <w:style w:type="character" w:styleId="TextodegloboCar" w:customStyle="1">
    <w:name w:val="Texto de globo Car"/>
    <w:basedOn w:val="DefaultParagraphFont"/>
    <w:link w:val="BalloonText"/>
    <w:uiPriority w:val="99"/>
    <w:semiHidden/>
    <w:qFormat/>
    <w:rsid w:val="007a3c50"/>
    <w:rPr>
      <w:rFonts w:ascii="Segoe UI" w:hAnsi="Segoe UI" w:cs="Segoe UI"/>
      <w:sz w:val="18"/>
      <w:szCs w:val="18"/>
    </w:rPr>
  </w:style>
  <w:style w:type="character" w:styleId="Ttulo3Car" w:customStyle="1">
    <w:name w:val="Título 3 Car"/>
    <w:basedOn w:val="DefaultParagraphFont"/>
    <w:link w:val="Heading3"/>
    <w:uiPriority w:val="9"/>
    <w:qFormat/>
    <w:rsid w:val="00c405c3"/>
    <w:rPr>
      <w:rFonts w:ascii="Times New Roman" w:hAnsi="Times New Roman" w:eastAsia="" w:cs="" w:cstheme="majorBidi" w:eastAsiaTheme="majorEastAsia"/>
      <w:b/>
      <w:i/>
      <w:color w:themeColor="text1" w:val="000000"/>
      <w:sz w:val="24"/>
      <w:szCs w:val="24"/>
    </w:rPr>
  </w:style>
  <w:style w:type="character" w:styleId="Ttulo4Car" w:customStyle="1">
    <w:name w:val="Título 4 Car"/>
    <w:basedOn w:val="DefaultParagraphFont"/>
    <w:link w:val="Heading4"/>
    <w:uiPriority w:val="9"/>
    <w:qFormat/>
    <w:rsid w:val="00c405c3"/>
    <w:rPr>
      <w:rFonts w:ascii="Times New Roman" w:hAnsi="Times New Roman" w:eastAsia="" w:cs="" w:cstheme="majorBidi" w:eastAsiaTheme="majorEastAsia"/>
      <w:b/>
      <w:i/>
      <w:iCs/>
      <w:sz w:val="24"/>
    </w:rPr>
  </w:style>
  <w:style w:type="character" w:styleId="Ttulo5Car" w:customStyle="1">
    <w:name w:val="Título 5 Car"/>
    <w:basedOn w:val="DefaultParagraphFont"/>
    <w:link w:val="Heading5"/>
    <w:uiPriority w:val="9"/>
    <w:qFormat/>
    <w:rsid w:val="00f335a4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0"/>
    </w:rPr>
  </w:style>
  <w:style w:type="character" w:styleId="Ttulo6Car" w:customStyle="1">
    <w:name w:val="Título 6 Car"/>
    <w:basedOn w:val="DefaultParagraphFont"/>
    <w:link w:val="Heading6"/>
    <w:uiPriority w:val="9"/>
    <w:qFormat/>
    <w:rsid w:val="00f335a4"/>
    <w:rPr>
      <w:rFonts w:ascii="Calibri Light" w:hAnsi="Calibri Light" w:eastAsia="" w:cs="" w:asciiTheme="majorHAnsi" w:cstheme="majorBidi" w:eastAsiaTheme="majorEastAsia" w:hAnsiTheme="majorHAnsi"/>
      <w:color w:themeColor="accent1" w:themeShade="7f" w:val="1F4D78"/>
      <w:sz w:val="20"/>
    </w:rPr>
  </w:style>
  <w:style w:type="character" w:styleId="Ttulo7Car" w:customStyle="1">
    <w:name w:val="Título 7 Car"/>
    <w:basedOn w:val="DefaultParagraphFont"/>
    <w:link w:val="Heading7"/>
    <w:uiPriority w:val="9"/>
    <w:semiHidden/>
    <w:qFormat/>
    <w:rsid w:val="00f335a4"/>
    <w:rPr>
      <w:rFonts w:ascii="Calibri Light" w:hAnsi="Calibri Light" w:eastAsia="" w:cs="" w:asciiTheme="majorHAnsi" w:cstheme="majorBidi" w:eastAsiaTheme="majorEastAsia" w:hAnsiTheme="majorHAnsi"/>
      <w:i/>
      <w:iCs/>
      <w:color w:themeColor="accent1" w:themeShade="7f" w:val="1F4D78"/>
      <w:sz w:val="20"/>
    </w:rPr>
  </w:style>
  <w:style w:type="character" w:styleId="Ttulo8Car" w:customStyle="1">
    <w:name w:val="Título 8 Car"/>
    <w:basedOn w:val="DefaultParagraphFont"/>
    <w:link w:val="Heading8"/>
    <w:uiPriority w:val="9"/>
    <w:semiHidden/>
    <w:qFormat/>
    <w:rsid w:val="00f335a4"/>
    <w:rPr>
      <w:rFonts w:ascii="Calibri Light" w:hAnsi="Calibri Light" w:eastAsia="" w:cs="" w:asciiTheme="majorHAnsi" w:cstheme="majorBidi" w:eastAsiaTheme="majorEastAsia" w:hAnsiTheme="majorHAnsi"/>
      <w:color w:themeColor="text1" w:themeTint="d8" w:val="272727"/>
      <w:sz w:val="21"/>
      <w:szCs w:val="21"/>
    </w:rPr>
  </w:style>
  <w:style w:type="character" w:styleId="Ttulo9Car" w:customStyle="1">
    <w:name w:val="Título 9 Car"/>
    <w:basedOn w:val="DefaultParagraphFont"/>
    <w:link w:val="Heading9"/>
    <w:uiPriority w:val="9"/>
    <w:semiHidden/>
    <w:qFormat/>
    <w:rsid w:val="00f335a4"/>
    <w:rPr>
      <w:rFonts w:ascii="Calibri Light" w:hAnsi="Calibri Light" w:eastAsia="" w:cs=""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type="character" w:styleId="tablaCar" w:customStyle="1">
    <w:name w:val="tabla Car"/>
    <w:basedOn w:val="DefaultParagraphFont"/>
    <w:link w:val="tabla"/>
    <w:qFormat/>
    <w:rsid w:val="00d502c4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8a0c76"/>
    <w:rPr>
      <w:color w:themeColor="hyperlink" w:val="0563C1"/>
      <w:u w:val="single"/>
    </w:rPr>
  </w:style>
  <w:style w:type="character" w:styleId="Strong">
    <w:name w:val="Strong"/>
    <w:basedOn w:val="DefaultParagraphFont"/>
    <w:uiPriority w:val="22"/>
    <w:qFormat/>
    <w:rsid w:val="00f335a4"/>
    <w:rPr>
      <w:rFonts w:ascii="Times New Roman" w:hAnsi="Times New Roman"/>
      <w:b/>
      <w:bCs/>
      <w:sz w:val="24"/>
    </w:rPr>
  </w:style>
  <w:style w:type="character" w:styleId="AnexoCar" w:customStyle="1">
    <w:name w:val="Anexo Car"/>
    <w:basedOn w:val="Ttulo4Car"/>
    <w:link w:val="Anexo"/>
    <w:qFormat/>
    <w:rsid w:val="007f1ff6"/>
    <w:rPr>
      <w:rFonts w:ascii="Times New Roman" w:hAnsi="Times New Roman" w:eastAsia="" w:cs="" w:cstheme="majorBidi" w:eastAsiaTheme="majorEastAsia"/>
      <w:b/>
      <w:i/>
      <w:iCs/>
      <w:sz w:val="24"/>
    </w:rPr>
  </w:style>
  <w:style w:type="character" w:styleId="CodeCar" w:customStyle="1">
    <w:name w:val="Code Car"/>
    <w:basedOn w:val="DefaultParagraphFont"/>
    <w:link w:val="Code"/>
    <w:qFormat/>
    <w:rsid w:val="00560324"/>
    <w:rPr>
      <w:rFonts w:ascii="Courier New" w:hAnsi="Courier New" w:eastAsia="" w:cs="" w:cstheme="majorBidi" w:eastAsiaTheme="majorEastAsia"/>
      <w:color w:themeColor="accent5" w:themeShade="bf" w:val="2F5496"/>
      <w:sz w:val="20"/>
      <w:szCs w:val="18"/>
      <w:lang w:val="en-US" w:eastAsia="es-E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d965ad"/>
    <w:rPr>
      <w:color w:val="605E5C"/>
      <w:shd w:fill="E1DFDD" w:val="clear"/>
    </w:rPr>
  </w:style>
  <w:style w:type="character" w:styleId="HTMLconformatoprevioCar" w:customStyle="1">
    <w:name w:val="HTML con formato previo Car"/>
    <w:basedOn w:val="DefaultParagraphFont"/>
    <w:link w:val="HTMLPreformatted"/>
    <w:uiPriority w:val="99"/>
    <w:semiHidden/>
    <w:qFormat/>
    <w:rsid w:val="00c15c9a"/>
    <w:rPr>
      <w:rFonts w:ascii="Courier New" w:hAnsi="Courier New" w:eastAsia="Times New Roman" w:cs="Courier New"/>
      <w:sz w:val="20"/>
      <w:szCs w:val="20"/>
      <w:lang w:eastAsia="es-ES"/>
    </w:rPr>
  </w:style>
  <w:style w:type="character" w:styleId="HTMLCode">
    <w:name w:val="HTML Code"/>
    <w:basedOn w:val="DefaultParagraphFont"/>
    <w:uiPriority w:val="99"/>
    <w:semiHidden/>
    <w:unhideWhenUsed/>
    <w:qFormat/>
    <w:rsid w:val="00c15c9a"/>
    <w:rPr>
      <w:rFonts w:ascii="Courier New" w:hAnsi="Courier New" w:eastAsia="Times New Roman" w:cs="Courier New"/>
      <w:sz w:val="20"/>
      <w:szCs w:val="20"/>
    </w:rPr>
  </w:style>
  <w:style w:type="character" w:styleId="hljs-meta" w:customStyle="1">
    <w:name w:val="hljs-meta"/>
    <w:basedOn w:val="DefaultParagraphFont"/>
    <w:qFormat/>
    <w:rsid w:val="00c15c9a"/>
    <w:rPr/>
  </w:style>
  <w:style w:type="character" w:styleId="hljs-keyword" w:customStyle="1">
    <w:name w:val="hljs-keyword"/>
    <w:basedOn w:val="DefaultParagraphFont"/>
    <w:qFormat/>
    <w:rsid w:val="00c15c9a"/>
    <w:rPr/>
  </w:style>
  <w:style w:type="character" w:styleId="FollowedHyperlink">
    <w:name w:val="FollowedHyperlink"/>
    <w:basedOn w:val="DefaultParagraphFont"/>
    <w:uiPriority w:val="99"/>
    <w:semiHidden/>
    <w:unhideWhenUsed/>
    <w:rsid w:val="008812f8"/>
    <w:rPr>
      <w:color w:themeColor="followedHyperlink" w:val="954F72"/>
      <w:u w:val="single"/>
    </w:rPr>
  </w:style>
  <w:style w:type="character" w:styleId="hljs-title" w:customStyle="1">
    <w:name w:val="hljs-title"/>
    <w:basedOn w:val="DefaultParagraphFont"/>
    <w:qFormat/>
    <w:rsid w:val="00ee17bc"/>
    <w:rPr/>
  </w:style>
  <w:style w:type="character" w:styleId="hljs-string" w:customStyle="1">
    <w:name w:val="hljs-string"/>
    <w:basedOn w:val="DefaultParagraphFont"/>
    <w:qFormat/>
    <w:rsid w:val="00ee17bc"/>
    <w:rPr/>
  </w:style>
  <w:style w:type="character" w:styleId="hljs-number" w:customStyle="1">
    <w:name w:val="hljs-number"/>
    <w:basedOn w:val="DefaultParagraphFont"/>
    <w:qFormat/>
    <w:rsid w:val="00f00a5f"/>
    <w:rPr/>
  </w:style>
  <w:style w:type="character" w:styleId="hljs-variable" w:customStyle="1">
    <w:name w:val="hljs-variable"/>
    <w:basedOn w:val="DefaultParagraphFont"/>
    <w:qFormat/>
    <w:rsid w:val="00f00a5f"/>
    <w:rPr/>
  </w:style>
  <w:style w:type="character" w:styleId="hljs-params" w:customStyle="1">
    <w:name w:val="hljs-params"/>
    <w:basedOn w:val="DefaultParagraphFont"/>
    <w:qFormat/>
    <w:rsid w:val="00bb6df2"/>
    <w:rPr/>
  </w:style>
  <w:style w:type="character" w:styleId="hljs-comment" w:customStyle="1">
    <w:name w:val="hljs-comment"/>
    <w:basedOn w:val="DefaultParagraphFont"/>
    <w:qFormat/>
    <w:rsid w:val="00bb6df2"/>
    <w:rPr/>
  </w:style>
  <w:style w:type="character" w:styleId="hljs-attr" w:customStyle="1">
    <w:name w:val="hljs-attr"/>
    <w:basedOn w:val="DefaultParagraphFont"/>
    <w:qFormat/>
    <w:rsid w:val="000f3160"/>
    <w:rPr/>
  </w:style>
  <w:style w:type="character" w:styleId="hljs-property" w:customStyle="1">
    <w:name w:val="hljs-property"/>
    <w:basedOn w:val="DefaultParagraphFont"/>
    <w:qFormat/>
    <w:rsid w:val="000f3160"/>
    <w:rPr/>
  </w:style>
  <w:style w:type="character" w:styleId="hljs-function" w:customStyle="1">
    <w:name w:val="hljs-function"/>
    <w:basedOn w:val="DefaultParagraphFont"/>
    <w:qFormat/>
    <w:rsid w:val="000b2ddc"/>
    <w:rPr/>
  </w:style>
  <w:style w:type="character" w:styleId="hljs-literal" w:customStyle="1">
    <w:name w:val="hljs-literal"/>
    <w:basedOn w:val="DefaultParagraphFont"/>
    <w:qFormat/>
    <w:rsid w:val="0030393e"/>
    <w:rPr/>
  </w:style>
  <w:style w:type="character" w:styleId="hljs-builtin" w:customStyle="1">
    <w:name w:val="hljs-built_in"/>
    <w:basedOn w:val="DefaultParagraphFont"/>
    <w:qFormat/>
    <w:rsid w:val="003a1988"/>
    <w:rPr/>
  </w:style>
  <w:style w:type="character" w:styleId="token" w:customStyle="1">
    <w:name w:val="token"/>
    <w:basedOn w:val="DefaultParagraphFont"/>
    <w:qFormat/>
    <w:rsid w:val="007a3c56"/>
    <w:rPr/>
  </w:style>
  <w:style w:type="character" w:styleId="TextoindependienteCar" w:customStyle="1">
    <w:name w:val="Texto independiente Car"/>
    <w:basedOn w:val="DefaultParagraphFont"/>
    <w:qFormat/>
    <w:rsid w:val="0047206f"/>
    <w:rPr>
      <w:rFonts w:ascii="Arial" w:hAnsi="Arial"/>
      <w:sz w:val="20"/>
    </w:rPr>
  </w:style>
  <w:style w:type="character" w:styleId="PrrafodelistaCar" w:customStyle="1">
    <w:name w:val="Párrafo de lista Car"/>
    <w:basedOn w:val="DefaultParagraphFont"/>
    <w:link w:val="ListParagraph"/>
    <w:uiPriority w:val="34"/>
    <w:qFormat/>
    <w:rsid w:val="00f56e97"/>
    <w:rPr>
      <w:rFonts w:ascii="Times New Roman" w:hAnsi="Times New Roman"/>
      <w:sz w:val="24"/>
    </w:rPr>
  </w:style>
  <w:style w:type="character" w:styleId="imagenCar" w:customStyle="1">
    <w:name w:val="imagen Car"/>
    <w:basedOn w:val="PrrafodelistaCar"/>
    <w:link w:val="imagen"/>
    <w:qFormat/>
    <w:rsid w:val="00f56e97"/>
    <w:rPr>
      <w:rFonts w:ascii="Times New Roman" w:hAnsi="Times New Roman"/>
      <w:sz w:val="16"/>
    </w:rPr>
  </w:style>
  <w:style w:type="character" w:styleId="SinespaciadoCar" w:customStyle="1">
    <w:name w:val="Sin espaciado Car"/>
    <w:basedOn w:val="DefaultParagraphFont"/>
    <w:link w:val="NoSpacing"/>
    <w:uiPriority w:val="1"/>
    <w:qFormat/>
    <w:rsid w:val="002232b7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link w:val="TextoindependienteCar"/>
    <w:rsid w:val="0047206f"/>
    <w:pPr>
      <w:suppressAutoHyphens w:val="true"/>
      <w:spacing w:lineRule="auto" w:line="276" w:before="0" w:after="140"/>
      <w:ind w:hanging="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next w:val="Normal"/>
    <w:uiPriority w:val="35"/>
    <w:unhideWhenUsed/>
    <w:qFormat/>
    <w:rsid w:val="00ff1343"/>
    <w:pPr>
      <w:spacing w:lineRule="auto" w:line="240" w:before="0" w:after="200"/>
    </w:pPr>
    <w:rPr>
      <w:i/>
      <w:iCs/>
      <w:color w:themeColor="text2" w:val="44546A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ListParagraph">
    <w:name w:val="List Paragraph"/>
    <w:basedOn w:val="Normal"/>
    <w:link w:val="PrrafodelistaCar"/>
    <w:uiPriority w:val="34"/>
    <w:qFormat/>
    <w:rsid w:val="0055138d"/>
    <w:pPr>
      <w:widowControl w:val="false"/>
      <w:spacing w:lineRule="auto" w:line="300" w:before="120" w:after="240"/>
      <w:ind w:hanging="0"/>
    </w:pPr>
    <w:rPr>
      <w:rFonts w:ascii="Times New Roman" w:hAnsi="Times New Roman"/>
      <w:sz w:val="24"/>
    </w:rPr>
  </w:style>
  <w:style w:type="paragraph" w:styleId="NoSpacing">
    <w:name w:val="No Spacing"/>
    <w:link w:val="SinespaciadoCar"/>
    <w:uiPriority w:val="1"/>
    <w:qFormat/>
    <w:rsid w:val="00f335a4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s-E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EncabezadoCar"/>
    <w:uiPriority w:val="99"/>
    <w:unhideWhenUsed/>
    <w:rsid w:val="00570414"/>
    <w:pPr>
      <w:tabs>
        <w:tab w:val="clear" w:pos="708"/>
        <w:tab w:val="center" w:pos="4252" w:leader="none"/>
        <w:tab w:val="right" w:pos="8504" w:leader="none"/>
      </w:tabs>
      <w:spacing w:lineRule="auto" w:line="240"/>
    </w:pPr>
    <w:rPr/>
  </w:style>
  <w:style w:type="paragraph" w:styleId="Footer">
    <w:name w:val="footer"/>
    <w:basedOn w:val="Normal"/>
    <w:link w:val="PiedepginaCar"/>
    <w:uiPriority w:val="99"/>
    <w:unhideWhenUsed/>
    <w:rsid w:val="00570414"/>
    <w:pPr>
      <w:tabs>
        <w:tab w:val="clear" w:pos="708"/>
        <w:tab w:val="center" w:pos="4252" w:leader="none"/>
        <w:tab w:val="right" w:pos="8504" w:leader="none"/>
      </w:tabs>
      <w:spacing w:lineRule="auto" w:line="240"/>
    </w:pPr>
    <w:rPr/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7a3c5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abla" w:customStyle="1">
    <w:name w:val="tabla"/>
    <w:basedOn w:val="Normal"/>
    <w:link w:val="tablaCar"/>
    <w:qFormat/>
    <w:rsid w:val="00d502c4"/>
    <w:pPr>
      <w:spacing w:lineRule="auto" w:line="259" w:before="0" w:after="160"/>
      <w:ind w:hanging="0"/>
      <w:jc w:val="start"/>
    </w:pPr>
    <w:rPr/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f335a4"/>
    <w:pPr>
      <w:numPr>
        <w:ilvl w:val="0"/>
        <w:numId w:val="0"/>
      </w:numPr>
      <w:spacing w:lineRule="auto" w:line="259" w:before="240" w:after="0"/>
      <w:ind w:hanging="567" w:start="567"/>
      <w:outlineLvl w:val="9"/>
    </w:pPr>
    <w:rPr>
      <w:rFonts w:ascii="Calibri Light" w:hAnsi="Calibri Light" w:asciiTheme="majorHAnsi" w:hAnsiTheme="majorHAnsi"/>
      <w:b w:val="false"/>
      <w:caps w:val="false"/>
      <w:smallCaps w:val="false"/>
      <w:color w:themeColor="accent1" w:themeShade="bf" w:val="2E74B5"/>
      <w:sz w:val="32"/>
      <w:lang w:eastAsia="es-ES"/>
    </w:rPr>
  </w:style>
  <w:style w:type="paragraph" w:styleId="TOC1">
    <w:name w:val="toc 1"/>
    <w:basedOn w:val="Normal"/>
    <w:next w:val="Normal"/>
    <w:autoRedefine/>
    <w:uiPriority w:val="39"/>
    <w:unhideWhenUsed/>
    <w:rsid w:val="008a0c76"/>
    <w:pPr>
      <w:spacing w:before="360" w:after="360"/>
      <w:ind w:hanging="0"/>
      <w:jc w:val="start"/>
    </w:pPr>
    <w:rPr>
      <w:rFonts w:ascii="Calibri" w:hAnsi="Calibri" w:cs="Calibri" w:asciiTheme="minorHAnsi" w:cstheme="minorHAnsi" w:hAnsiTheme="minorHAnsi"/>
      <w:b/>
      <w:bCs/>
      <w:caps/>
      <w:sz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a0c76"/>
    <w:pPr>
      <w:spacing w:before="0" w:after="0"/>
      <w:ind w:hanging="0"/>
      <w:jc w:val="start"/>
    </w:pPr>
    <w:rPr>
      <w:rFonts w:ascii="Calibri" w:hAnsi="Calibri" w:cs="Calibri" w:asciiTheme="minorHAnsi" w:cstheme="minorHAnsi" w:hAnsiTheme="minorHAnsi"/>
      <w:b/>
      <w:bCs/>
      <w:smallCaps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8a0c76"/>
    <w:pPr>
      <w:spacing w:before="0" w:after="0"/>
      <w:ind w:hanging="0"/>
      <w:jc w:val="start"/>
    </w:pPr>
    <w:rPr>
      <w:rFonts w:ascii="Calibri" w:hAnsi="Calibri" w:cs="Calibri" w:asciiTheme="minorHAnsi" w:cstheme="minorHAnsi" w:hAnsiTheme="minorHAnsi"/>
      <w:smallCaps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0b2ddc"/>
    <w:pPr>
      <w:spacing w:before="0" w:after="0"/>
      <w:ind w:hanging="0"/>
      <w:jc w:val="start"/>
    </w:pPr>
    <w:rPr>
      <w:rFonts w:ascii="Calibri" w:hAnsi="Calibri" w:cs="Calibri" w:asciiTheme="minorHAnsi" w:cstheme="minorHAnsi" w:hAnsiTheme="minorHAnsi"/>
      <w:i/>
    </w:rPr>
  </w:style>
  <w:style w:type="paragraph" w:styleId="TOC5">
    <w:name w:val="toc 5"/>
    <w:basedOn w:val="Normal"/>
    <w:next w:val="Normal"/>
    <w:autoRedefine/>
    <w:uiPriority w:val="39"/>
    <w:unhideWhenUsed/>
    <w:rsid w:val="008a0c76"/>
    <w:pPr>
      <w:spacing w:before="0" w:after="0"/>
      <w:ind w:hanging="0"/>
      <w:jc w:val="start"/>
    </w:pPr>
    <w:rPr>
      <w:rFonts w:ascii="Calibri" w:hAnsi="Calibri" w:cs="Calibri" w:asciiTheme="minorHAnsi" w:cstheme="minorHAnsi" w:hAnsiTheme="minorHAnsi"/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8a0c76"/>
    <w:pPr>
      <w:spacing w:before="0" w:after="0"/>
      <w:ind w:hanging="0"/>
      <w:jc w:val="start"/>
    </w:pPr>
    <w:rPr>
      <w:rFonts w:ascii="Calibri" w:hAnsi="Calibri" w:cs="Calibri" w:asciiTheme="minorHAnsi" w:cstheme="minorHAnsi" w:hAnsiTheme="minorHAnsi"/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8a0c76"/>
    <w:pPr>
      <w:spacing w:before="0" w:after="0"/>
      <w:ind w:hanging="0"/>
      <w:jc w:val="start"/>
    </w:pPr>
    <w:rPr>
      <w:rFonts w:ascii="Calibri" w:hAnsi="Calibri" w:cs="Calibri" w:asciiTheme="minorHAnsi" w:cstheme="minorHAnsi" w:hAnsiTheme="minorHAns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a0c76"/>
    <w:pPr>
      <w:spacing w:before="0" w:after="0"/>
      <w:ind w:hanging="0"/>
      <w:jc w:val="start"/>
    </w:pPr>
    <w:rPr>
      <w:rFonts w:ascii="Calibri" w:hAnsi="Calibri" w:cs="Calibri" w:asciiTheme="minorHAnsi" w:cstheme="minorHAnsi" w:hAnsiTheme="minorHAns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a0c76"/>
    <w:pPr>
      <w:spacing w:before="0" w:after="0"/>
      <w:ind w:hanging="0"/>
      <w:jc w:val="start"/>
    </w:pPr>
    <w:rPr>
      <w:rFonts w:ascii="Calibri" w:hAnsi="Calibri" w:cs="Calibri" w:asciiTheme="minorHAnsi" w:cstheme="minorHAnsi" w:hAnsiTheme="minorHAnsi"/>
      <w:sz w:val="22"/>
    </w:rPr>
  </w:style>
  <w:style w:type="paragraph" w:styleId="Anexo" w:customStyle="1">
    <w:name w:val="Anexo"/>
    <w:basedOn w:val="Heading4"/>
    <w:link w:val="AnexoCar"/>
    <w:qFormat/>
    <w:rsid w:val="007f1ff6"/>
    <w:pPr>
      <w:numPr>
        <w:ilvl w:val="0"/>
        <w:numId w:val="0"/>
      </w:numPr>
      <w:ind w:hanging="864" w:start="864"/>
    </w:pPr>
    <w:rPr/>
  </w:style>
  <w:style w:type="paragraph" w:styleId="Code" w:customStyle="1">
    <w:name w:val="Code"/>
    <w:link w:val="CodeCar"/>
    <w:qFormat/>
    <w:rsid w:val="00560324"/>
    <w:pPr>
      <w:widowControl/>
      <w:suppressAutoHyphens w:val="true"/>
      <w:bidi w:val="0"/>
      <w:spacing w:lineRule="auto" w:line="240" w:before="360" w:after="480"/>
      <w:ind w:start="851"/>
      <w:jc w:val="both"/>
    </w:pPr>
    <w:rPr>
      <w:rFonts w:ascii="Courier New" w:hAnsi="Courier New" w:eastAsia="" w:cs="" w:cstheme="majorBidi" w:eastAsiaTheme="majorEastAsia"/>
      <w:color w:themeColor="accent5" w:themeShade="bf" w:val="2F5496"/>
      <w:kern w:val="0"/>
      <w:sz w:val="20"/>
      <w:szCs w:val="18"/>
      <w:lang w:val="en-US" w:eastAsia="es-ES" w:bidi="ar-SA"/>
    </w:rPr>
  </w:style>
  <w:style w:type="paragraph" w:styleId="NormalWeb">
    <w:name w:val="Normal (Web)"/>
    <w:basedOn w:val="Normal"/>
    <w:uiPriority w:val="99"/>
    <w:semiHidden/>
    <w:unhideWhenUsed/>
    <w:qFormat/>
    <w:rsid w:val="00151185"/>
    <w:pPr>
      <w:spacing w:lineRule="auto" w:line="240" w:beforeAutospacing="1" w:afterAutospacing="1"/>
      <w:ind w:hanging="0"/>
      <w:jc w:val="start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HTMLPreformatted">
    <w:name w:val="HTML Preformatted"/>
    <w:basedOn w:val="Normal"/>
    <w:link w:val="HTMLconformatoprevioCar"/>
    <w:uiPriority w:val="99"/>
    <w:semiHidden/>
    <w:unhideWhenUsed/>
    <w:qFormat/>
    <w:rsid w:val="00c15c9a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  <w:ind w:hanging="0"/>
      <w:jc w:val="start"/>
    </w:pPr>
    <w:rPr>
      <w:rFonts w:ascii="Courier New" w:hAnsi="Courier New" w:eastAsia="Times New Roman" w:cs="Courier New"/>
      <w:szCs w:val="20"/>
      <w:lang w:eastAsia="es-ES"/>
    </w:rPr>
  </w:style>
  <w:style w:type="paragraph" w:styleId="imagen" w:customStyle="1">
    <w:name w:val="imagen"/>
    <w:basedOn w:val="ListParagraph"/>
    <w:link w:val="imagenCar"/>
    <w:qFormat/>
    <w:rsid w:val="00f56e97"/>
    <w:pPr>
      <w:spacing w:lineRule="auto" w:line="240" w:before="120" w:after="120"/>
      <w:jc w:val="center"/>
    </w:pPr>
    <w:rPr>
      <w:sz w:val="16"/>
    </w:rPr>
  </w:style>
  <w:style w:type="paragraph" w:styleId="font-claude-response-body" w:customStyle="1">
    <w:name w:val="font-claude-response-body"/>
    <w:basedOn w:val="Normal"/>
    <w:qFormat/>
    <w:rsid w:val="00f56e97"/>
    <w:pPr>
      <w:spacing w:lineRule="auto" w:line="240" w:beforeAutospacing="1" w:afterAutospacing="1"/>
      <w:ind w:hanging="0"/>
      <w:jc w:val="start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paragraph" w:styleId="FrameContents">
    <w:name w:val="Frame Contents"/>
    <w:basedOn w:val="Normal"/>
    <w:qFormat/>
    <w:pPr/>
    <w:rPr/>
  </w:style>
  <w:style w:type="paragraph" w:styleId="FrameContentsuser">
    <w:name w:val="Frame Contents (user)"/>
    <w:basedOn w:val="Normal"/>
    <w:qFormat/>
    <w:pPr/>
    <w:rPr/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8600a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delista2-nfasis5">
    <w:name w:val="List Table 2 Accent 5"/>
    <w:basedOn w:val="Tablanormal"/>
    <w:uiPriority w:val="47"/>
    <w:rsid w:val="003f37bd"/>
    <w:pPr>
      <w:spacing w:after="0" w:line="240" w:lineRule="auto"/>
    </w:pPr>
    <w:tblPr>
      <w:tblStyleRowBandSize w:val="1"/>
      <w:tblStyleColBandSize w:val="1"/>
      <w:tblBorders>
        <w:top w:val="single" w:color="8EAADB" w:themeColor="accent5" w:themeTint="99" w:sz="4" w:space="0"/>
        <w:bottom w:val="single" w:color="8EAADB" w:themeColor="accent5" w:themeTint="99" w:sz="4" w:space="0"/>
        <w:insideH w:val="single" w:color="8EAADB" w:themeColor="accent5" w:themeTint="99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aconcuadrcula4-nfasis1">
    <w:name w:val="Grid Table 4 Accent 1"/>
    <w:basedOn w:val="Tablanormal"/>
    <w:uiPriority w:val="49"/>
    <w:rsid w:val="00cc3a37"/>
    <w:pPr>
      <w:spacing w:after="0" w:line="240" w:lineRule="auto"/>
    </w:p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aconcuadrculaclara">
    <w:name w:val="Grid Table Light"/>
    <w:basedOn w:val="Tablanormal"/>
    <w:uiPriority w:val="40"/>
    <w:rsid w:val="004715d0"/>
    <w:pPr>
      <w:spacing w:after="0" w:line="240" w:lineRule="auto"/>
    </w:pPr>
    <w:tblPr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3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plantilla2</Template>
  <TotalTime>59</TotalTime>
  <Application>LibreOffice/25.8.4.2$Linux_X86_64 LibreOffice_project/290daaa01b999472f0c7a3890eb6a550fd74c6df</Application>
  <AppVersion>15.0000</AppVersion>
  <Pages>5</Pages>
  <Words>1062</Words>
  <Characters>5542</Characters>
  <CharactersWithSpaces>6496</CharactersWithSpaces>
  <Paragraphs>144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2026-02-18T21:18:00Z</dcterms:created>
  <dc:creator>Carlos</dc:creator>
  <dc:description/>
  <dc:language>en-US</dc:language>
  <cp:lastModifiedBy/>
  <dcterms:modified xsi:type="dcterms:W3CDTF">2026-09-01T18:57:32Z</dcterms:modified>
  <cp:revision>12</cp:revision>
  <dc:subject>Análisis de Parcelas para Instalaciones de Biometano</dc:subject>
  <dc:title>Informe de Viabilidad LITE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