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istParagraph"/>
        <w:spacing w:before="120" w:after="240"/>
        <w:rPr/>
      </w:pPr>
      <w:r>
        <w:rPr/>
      </w:r>
    </w:p>
    <w:p>
      <w:pPr>
        <w:pStyle w:val="ListParagraph"/>
        <w:rPr/>
      </w:pPr>
      <w:r>
        <w:rPr/>
      </w:r>
    </w:p>
    <w:p>
      <w:pPr>
        <w:pStyle w:val="ListParagraph"/>
        <w:rPr/>
      </w:pPr>
      <w:r>
        <w:rPr/>
      </w:r>
    </w:p>
    <w:p>
      <w:pPr>
        <w:pStyle w:val="ListParagraph"/>
        <w:spacing w:beforeAutospacing="1" w:afterAutospacing="1"/>
        <w:rPr/>
      </w:pPr>
      <w:r>
        <w:rPr/>
      </w:r>
    </w:p>
    <w:p>
      <w:pPr>
        <w:pStyle w:val="NoSpacing"/>
        <w:spacing w:lineRule="auto" w:line="216" w:before="40" w:after="600"/>
        <w:rPr/>
      </w:pPr>
      <w:r>
        <w:rPr/>
        <w:drawing>
          <wp:anchor behindDoc="0" distT="0" distB="0" distL="114300" distR="114300" simplePos="0" locked="0" layoutInCell="0" allowOverlap="1" relativeHeight="148">
            <wp:simplePos x="0" y="0"/>
            <wp:positionH relativeFrom="margin">
              <wp:posOffset>-133350</wp:posOffset>
            </wp:positionH>
            <wp:positionV relativeFrom="paragraph">
              <wp:posOffset>611505</wp:posOffset>
            </wp:positionV>
            <wp:extent cx="2468245" cy="508635"/>
            <wp:effectExtent l="0" t="0" r="0" b="0"/>
            <wp:wrapTopAndBottom/>
            <wp:docPr id="1"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6"/>
                    <pic:cNvPicPr>
                      <a:picLocks noChangeAspect="1" noChangeArrowheads="1"/>
                    </pic:cNvPicPr>
                  </pic:nvPicPr>
                  <pic:blipFill>
                    <a:blip r:embed="rId2"/>
                    <a:stretch>
                      <a:fillRect/>
                    </a:stretch>
                  </pic:blipFill>
                  <pic:spPr bwMode="auto">
                    <a:xfrm>
                      <a:off x="0" y="0"/>
                      <a:ext cx="2468245" cy="508635"/>
                    </a:xfrm>
                    <a:prstGeom prst="rect">
                      <a:avLst/>
                    </a:prstGeom>
                    <a:noFill/>
                  </pic:spPr>
                </pic:pic>
              </a:graphicData>
            </a:graphic>
          </wp:anchor>
        </w:drawing>
      </w:r>
    </w:p>
    <w:p>
      <w:pPr>
        <w:pStyle w:val="NoSpacing"/>
        <w:spacing w:lineRule="auto" w:line="216" w:before="840" w:after="0"/>
        <w:rPr>
          <w:sz w:val="64"/>
          <w:szCs w:val="64"/>
        </w:rPr>
      </w:pPr>
      <w:r>
        <mc:AlternateContent>
          <mc:Choice Requires="wps">
            <w:drawing>
              <wp:anchor behindDoc="0" distT="1270" distB="635" distL="1270" distR="635" simplePos="0" locked="0" layoutInCell="0" allowOverlap="1" relativeHeight="149">
                <wp:simplePos x="0" y="0"/>
                <wp:positionH relativeFrom="margin">
                  <wp:posOffset>3810</wp:posOffset>
                </wp:positionH>
                <wp:positionV relativeFrom="paragraph">
                  <wp:posOffset>1842135</wp:posOffset>
                </wp:positionV>
                <wp:extent cx="575945" cy="635"/>
                <wp:effectExtent l="1270" t="1270" r="635" b="635"/>
                <wp:wrapNone/>
                <wp:docPr id="2" name="Shape1"/>
                <a:graphic xmlns:a="http://schemas.openxmlformats.org/drawingml/2006/main">
                  <a:graphicData uri="http://schemas.microsoft.com/office/word/2010/wordprocessingShape">
                    <wps:wsp>
                      <wps:cNvSpPr/>
                      <wps:spPr>
                        <a:xfrm flipV="1">
                          <a:off x="0" y="0"/>
                          <a:ext cx="57600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path="m0,0l-2147483648,-2147483647e" stroked="t" o:allowincell="f" style="position:absolute;margin-left:0.3pt;margin-top:145.05pt;width:45.3pt;height:0pt;flip:y;mso-wrap-style:none;v-text-anchor:middle;mso-position-horizontal-relative:margin" type="_x0000_t32">
                <v:fill o:detectmouseclick="t" on="false"/>
                <v:stroke color="black" joinstyle="round" endcap="flat"/>
                <w10:wrap type="none"/>
              </v:shape>
            </w:pict>
          </mc:Fallback>
        </mc:AlternateContent>
      </w:r>
      <w:r>
        <w:rPr>
          <w:rFonts w:cs="Arial" w:cstheme="minorHAnsi"/>
          <w:b/>
          <w:bCs/>
          <w:color w:themeColor="light2" w:themeShade="40" w:val="3B3838"/>
          <w:sz w:val="64"/>
          <w:szCs w:val="64"/>
        </w:rPr>
        <w:t>Informe de viabilidad para plantas de biometano</w:t>
      </w:r>
    </w:p>
    <w:p>
      <w:pPr>
        <w:pStyle w:val="ListParagraph"/>
        <w:spacing w:before="720" w:after="101"/>
        <w:rPr>
          <w:sz w:val="32"/>
          <w:szCs w:val="32"/>
        </w:rPr>
      </w:pPr>
      <w:r>
        <w:rPr>
          <w:rFonts w:cs="Arial" w:cstheme="minorHAnsi"/>
          <w:color w:themeColor="light2" w:themeShade="40" w:val="3B3838"/>
          <w:sz w:val="32"/>
          <w:szCs w:val="32"/>
        </w:rPr>
        <w:t>Análisis técnico, medioambiental, urbanístico y agrológico de la parcela con ref. Catastral **************, situada en Alcazar De San Juan (Ciudad Real)</w:t>
      </w:r>
      <w:r>
        <w:br w:type="page"/>
      </w:r>
    </w:p>
    <w:p>
      <w:pPr>
        <w:pStyle w:val="ListParagraph"/>
        <w:spacing w:beforeAutospacing="1" w:after="480"/>
        <w:rPr>
          <w:rFonts w:ascii="Arial" w:hAnsi="Arial"/>
        </w:rPr>
      </w:pPr>
      <w:r>
        <mc:AlternateContent>
          <mc:Choice Requires="wps">
            <w:drawing>
              <wp:anchor behindDoc="0" distT="1270" distB="635" distL="635" distR="1270" simplePos="0" locked="0" layoutInCell="0" allowOverlap="1" relativeHeight="150">
                <wp:simplePos x="0" y="0"/>
                <wp:positionH relativeFrom="margin">
                  <wp:posOffset>1905</wp:posOffset>
                </wp:positionH>
                <wp:positionV relativeFrom="paragraph">
                  <wp:posOffset>299720</wp:posOffset>
                </wp:positionV>
                <wp:extent cx="539750" cy="635"/>
                <wp:effectExtent l="635" t="1270" r="1270" b="635"/>
                <wp:wrapNone/>
                <wp:docPr id="3" name="Shape2"/>
                <a:graphic xmlns:a="http://schemas.openxmlformats.org/drawingml/2006/main">
                  <a:graphicData uri="http://schemas.microsoft.com/office/word/2010/wordprocessingShape">
                    <wps:wsp>
                      <wps:cNvSpPr/>
                      <wps:spPr>
                        <a:xfrm flipV="1">
                          <a:off x="0" y="0"/>
                          <a:ext cx="53964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 id="shape_0" path="m0,0l-2147483648,-2147483647e" stroked="t" o:allowincell="f" style="position:absolute;margin-left:0.15pt;margin-top:23.6pt;width:42.45pt;height:0pt;flip:y;mso-wrap-style:none;v-text-anchor:middle;mso-position-horizontal-relative:margin" type="_x0000_t32">
                <v:fill o:detectmouseclick="t" on="false"/>
                <v:stroke color="black" joinstyle="round" endcap="flat"/>
                <w10:wrap type="none"/>
              </v:shape>
            </w:pict>
          </mc:Fallback>
        </mc:AlternateContent>
      </w:r>
      <w:r>
        <w:rPr>
          <w:rFonts w:ascii="Arial" w:hAnsi="Arial"/>
          <w:b/>
          <w:bCs/>
          <w:sz w:val="28"/>
          <w:szCs w:val="28"/>
        </w:rPr>
        <w:t>Tabla de contenido</w:t>
      </w:r>
    </w:p>
    <w:sdt>
      <w:sdtPr>
        <w:docPartObj>
          <w:docPartGallery w:val="Table of Contents"/>
          <w:docPartUnique w:val="true"/>
        </w:docPartObj>
      </w:sdtPr>
      <w:sdtContent>
        <w:p>
          <w:pPr>
            <w:pStyle w:val="TOC1"/>
            <w:tabs>
              <w:tab w:val="clear" w:pos="708"/>
              <w:tab w:val="right" w:pos="9637" w:leader="dot"/>
            </w:tabs>
            <w:rPr/>
          </w:pPr>
          <w:r>
            <w:fldChar w:fldCharType="begin"/>
          </w:r>
          <w:r>
            <w:rPr>
              <w:rStyle w:val="IndexLink"/>
            </w:rPr>
            <w:instrText xml:space="preserve"> TOC \o "1-4" \h</w:instrText>
          </w:r>
          <w:r>
            <w:rPr>
              <w:rStyle w:val="IndexLink"/>
            </w:rPr>
            <w:fldChar w:fldCharType="separate"/>
          </w:r>
          <w:hyperlink w:anchor="__RefHeading___Toc1295_3003605631">
            <w:r>
              <w:rPr>
                <w:rStyle w:val="IndexLink"/>
              </w:rPr>
              <w:t>1 Datos identificativos de la planta de biometano</w:t>
            </w:r>
          </w:hyperlink>
        </w:p>
        <w:p>
          <w:pPr>
            <w:pStyle w:val="TOC1"/>
            <w:tabs>
              <w:tab w:val="clear" w:pos="708"/>
              <w:tab w:val="right" w:pos="9637" w:leader="dot"/>
            </w:tabs>
            <w:rPr/>
          </w:pPr>
          <w:hyperlink w:anchor="__RefHeading___Toc1297_3003605631">
            <w:r>
              <w:rPr>
                <w:rStyle w:val="IndexLink"/>
              </w:rPr>
              <w:t>2 Objeto del informe</w:t>
            </w:r>
          </w:hyperlink>
        </w:p>
        <w:p>
          <w:pPr>
            <w:pStyle w:val="TOC1"/>
            <w:tabs>
              <w:tab w:val="clear" w:pos="708"/>
              <w:tab w:val="right" w:pos="9637" w:leader="dot"/>
            </w:tabs>
            <w:rPr/>
          </w:pPr>
          <w:hyperlink w:anchor="__RefHeading___Toc1299_3003605631">
            <w:r>
              <w:rPr>
                <w:rStyle w:val="IndexLink"/>
              </w:rPr>
              <w:t>3 Descripción de las parcela propuesta</w:t>
            </w:r>
          </w:hyperlink>
        </w:p>
        <w:p>
          <w:pPr>
            <w:pStyle w:val="TOC2"/>
            <w:tabs>
              <w:tab w:val="clear" w:pos="708"/>
              <w:tab w:val="right" w:pos="9637" w:leader="dot"/>
            </w:tabs>
            <w:rPr/>
          </w:pPr>
          <w:hyperlink w:anchor="__RefHeading___Toc1301_3003605631">
            <w:r>
              <w:rPr>
                <w:rStyle w:val="IndexLink"/>
              </w:rPr>
              <w:t>3.1 Emplazamiento</w:t>
            </w:r>
          </w:hyperlink>
        </w:p>
        <w:p>
          <w:pPr>
            <w:pStyle w:val="TOC2"/>
            <w:tabs>
              <w:tab w:val="clear" w:pos="708"/>
              <w:tab w:val="right" w:pos="9637" w:leader="dot"/>
            </w:tabs>
            <w:rPr/>
          </w:pPr>
          <w:hyperlink w:anchor="__RefHeading___Toc1303_3003605631">
            <w:r>
              <w:rPr>
                <w:rStyle w:val="IndexLink"/>
              </w:rPr>
              <w:t>3.2 Distancia a la red de gas</w:t>
            </w:r>
          </w:hyperlink>
        </w:p>
        <w:p>
          <w:pPr>
            <w:pStyle w:val="TOC1"/>
            <w:tabs>
              <w:tab w:val="clear" w:pos="708"/>
              <w:tab w:val="right" w:pos="9637" w:leader="dot"/>
            </w:tabs>
            <w:rPr/>
          </w:pPr>
          <w:hyperlink w:anchor="__RefHeading___Toc1305_3003605631">
            <w:r>
              <w:rPr>
                <w:rStyle w:val="IndexLink"/>
              </w:rPr>
              <w:t>4 Prefactibilidad ejecutiva</w:t>
            </w:r>
          </w:hyperlink>
        </w:p>
        <w:p>
          <w:pPr>
            <w:pStyle w:val="TOC2"/>
            <w:tabs>
              <w:tab w:val="clear" w:pos="708"/>
              <w:tab w:val="right" w:pos="9637" w:leader="dot"/>
            </w:tabs>
            <w:rPr/>
          </w:pPr>
          <w:hyperlink w:anchor="__RefHeading___Toc1307_3003605631">
            <w:r>
              <w:rPr>
                <w:rStyle w:val="IndexLink"/>
              </w:rPr>
              <w:t>4.1 Resumen visual de prefactibilidad</w:t>
            </w:r>
          </w:hyperlink>
        </w:p>
        <w:p>
          <w:pPr>
            <w:pStyle w:val="TOC2"/>
            <w:tabs>
              <w:tab w:val="clear" w:pos="708"/>
              <w:tab w:val="right" w:pos="9637" w:leader="dot"/>
            </w:tabs>
            <w:rPr/>
          </w:pPr>
          <w:hyperlink w:anchor="__RefHeading___Toc1309_3003605631">
            <w:r>
              <w:rPr>
                <w:rStyle w:val="IndexLink"/>
              </w:rPr>
              <w:t>4.2 Afecciones relevantes para la decisión</w:t>
            </w:r>
          </w:hyperlink>
        </w:p>
        <w:p>
          <w:pPr>
            <w:pStyle w:val="TOC2"/>
            <w:tabs>
              <w:tab w:val="clear" w:pos="708"/>
              <w:tab w:val="right" w:pos="9637" w:leader="dot"/>
            </w:tabs>
            <w:rPr/>
          </w:pPr>
          <w:hyperlink w:anchor="__RefHeading___Toc1311_3003605631">
            <w:r>
              <w:rPr>
                <w:rStyle w:val="IndexLink"/>
              </w:rPr>
              <w:t>4.3 Conclusión de viabilidad</w:t>
            </w:r>
          </w:hyperlink>
        </w:p>
        <w:p>
          <w:pPr>
            <w:pStyle w:val="TOC1"/>
            <w:tabs>
              <w:tab w:val="clear" w:pos="708"/>
              <w:tab w:val="right" w:pos="9637" w:leader="dot"/>
            </w:tabs>
            <w:rPr/>
          </w:pPr>
          <w:hyperlink w:anchor="__RefHeading___Toc1313_3003605631">
            <w:r>
              <w:rPr>
                <w:rStyle w:val="IndexLink"/>
              </w:rPr>
              <w:t>5 Urbanismo y normativa autonómica</w:t>
            </w:r>
          </w:hyperlink>
        </w:p>
        <w:p>
          <w:pPr>
            <w:pStyle w:val="TOC2"/>
            <w:tabs>
              <w:tab w:val="clear" w:pos="708"/>
              <w:tab w:val="right" w:pos="9637" w:leader="dot"/>
            </w:tabs>
            <w:rPr/>
          </w:pPr>
          <w:hyperlink w:anchor="__RefHeading___Toc1315_3003605631">
            <w:r>
              <w:rPr>
                <w:rStyle w:val="IndexLink"/>
              </w:rPr>
              <w:t>5.1 Planeamiento aplicable</w:t>
            </w:r>
          </w:hyperlink>
        </w:p>
        <w:p>
          <w:pPr>
            <w:pStyle w:val="TOC2"/>
            <w:tabs>
              <w:tab w:val="clear" w:pos="708"/>
              <w:tab w:val="right" w:pos="9637" w:leader="dot"/>
            </w:tabs>
            <w:rPr/>
          </w:pPr>
          <w:hyperlink w:anchor="__RefHeading___Toc1317_3003605631">
            <w:r>
              <w:rPr>
                <w:rStyle w:val="IndexLink"/>
              </w:rPr>
              <w:t>5.2 Lectura urbanísica y tramitación</w:t>
            </w:r>
          </w:hyperlink>
        </w:p>
        <w:p>
          <w:pPr>
            <w:pStyle w:val="TOC2"/>
            <w:tabs>
              <w:tab w:val="clear" w:pos="708"/>
              <w:tab w:val="right" w:pos="9637" w:leader="dot"/>
            </w:tabs>
            <w:rPr/>
          </w:pPr>
          <w:hyperlink w:anchor="__RefHeading___Toc1319_3003605631">
            <w:r>
              <w:rPr>
                <w:rStyle w:val="IndexLink"/>
              </w:rPr>
              <w:t>5.3 Normativa autonómica y contexto complementario</w:t>
            </w:r>
          </w:hyperlink>
        </w:p>
        <w:p>
          <w:pPr>
            <w:pStyle w:val="TOC1"/>
            <w:tabs>
              <w:tab w:val="clear" w:pos="708"/>
              <w:tab w:val="right" w:pos="9637" w:leader="dot"/>
            </w:tabs>
            <w:rPr/>
          </w:pPr>
          <w:hyperlink w:anchor="__RefHeading___Toc1321_3003605631">
            <w:r>
              <w:rPr>
                <w:rStyle w:val="IndexLink"/>
              </w:rPr>
              <w:t>6 Condicionantes territoriales, ambientales y técnicos</w:t>
            </w:r>
          </w:hyperlink>
        </w:p>
        <w:p>
          <w:pPr>
            <w:pStyle w:val="TOC2"/>
            <w:tabs>
              <w:tab w:val="clear" w:pos="708"/>
              <w:tab w:val="right" w:pos="9637" w:leader="dot"/>
            </w:tabs>
            <w:rPr/>
          </w:pPr>
          <w:hyperlink w:anchor="__RefHeading___Toc1323_3003605631">
            <w:r>
              <w:rPr>
                <w:rStyle w:val="IndexLink"/>
              </w:rPr>
              <w:t>6.1 Cuadro resumen</w:t>
            </w:r>
          </w:hyperlink>
        </w:p>
        <w:p>
          <w:pPr>
            <w:pStyle w:val="TOC2"/>
            <w:tabs>
              <w:tab w:val="clear" w:pos="708"/>
              <w:tab w:val="right" w:pos="9637" w:leader="dot"/>
            </w:tabs>
            <w:rPr/>
          </w:pPr>
          <w:hyperlink w:anchor="__RefHeading___Toc1325_3003605631">
            <w:r>
              <w:rPr>
                <w:rStyle w:val="IndexLink"/>
              </w:rPr>
              <w:t>6.2 Vientos y olores</w:t>
            </w:r>
          </w:hyperlink>
        </w:p>
        <w:p>
          <w:pPr>
            <w:pStyle w:val="TOC2"/>
            <w:tabs>
              <w:tab w:val="clear" w:pos="708"/>
              <w:tab w:val="right" w:pos="9637" w:leader="dot"/>
            </w:tabs>
            <w:rPr/>
          </w:pPr>
          <w:hyperlink w:anchor="__RefHeading___Toc1327_3003605631">
            <w:r>
              <w:rPr>
                <w:rStyle w:val="IndexLink"/>
              </w:rPr>
              <w:t>6.3 Proximidad a núcleos de población y construcciones aisladas</w:t>
            </w:r>
          </w:hyperlink>
        </w:p>
        <w:p>
          <w:pPr>
            <w:pStyle w:val="TOC2"/>
            <w:tabs>
              <w:tab w:val="clear" w:pos="708"/>
              <w:tab w:val="right" w:pos="9637" w:leader="dot"/>
            </w:tabs>
            <w:rPr/>
          </w:pPr>
          <w:hyperlink w:anchor="__RefHeading___Toc1329_3003605631">
            <w:r>
              <w:rPr>
                <w:rStyle w:val="IndexLink"/>
              </w:rPr>
              <w:t>6.4 Servidumbres de la red de transporte</w:t>
            </w:r>
          </w:hyperlink>
        </w:p>
        <w:p>
          <w:pPr>
            <w:pStyle w:val="TOC2"/>
            <w:tabs>
              <w:tab w:val="clear" w:pos="708"/>
              <w:tab w:val="right" w:pos="9637" w:leader="dot"/>
            </w:tabs>
            <w:rPr/>
          </w:pPr>
          <w:hyperlink w:anchor="__RefHeading___Toc1331_3003605631">
            <w:r>
              <w:rPr>
                <w:rStyle w:val="IndexLink"/>
              </w:rPr>
              <w:t>6.5 Relieve del terreno</w:t>
            </w:r>
          </w:hyperlink>
        </w:p>
        <w:p>
          <w:pPr>
            <w:pStyle w:val="TOC2"/>
            <w:tabs>
              <w:tab w:val="clear" w:pos="708"/>
              <w:tab w:val="right" w:pos="9637" w:leader="dot"/>
            </w:tabs>
            <w:rPr/>
          </w:pPr>
          <w:hyperlink w:anchor="__RefHeading___Toc1333_3003605631">
            <w:r>
              <w:rPr>
                <w:rStyle w:val="IndexLink"/>
              </w:rPr>
              <w:t>6.6 Red Natura 2000</w:t>
            </w:r>
          </w:hyperlink>
        </w:p>
        <w:p>
          <w:pPr>
            <w:pStyle w:val="TOC2"/>
            <w:tabs>
              <w:tab w:val="clear" w:pos="708"/>
              <w:tab w:val="right" w:pos="9637" w:leader="dot"/>
            </w:tabs>
            <w:rPr/>
          </w:pPr>
          <w:hyperlink w:anchor="__RefHeading___Toc1335_3003605631">
            <w:r>
              <w:rPr>
                <w:rStyle w:val="IndexLink"/>
              </w:rPr>
              <w:t>6.7 Espacios Naturales Protegidos</w:t>
            </w:r>
          </w:hyperlink>
        </w:p>
        <w:p>
          <w:pPr>
            <w:pStyle w:val="TOC2"/>
            <w:tabs>
              <w:tab w:val="clear" w:pos="708"/>
              <w:tab w:val="right" w:pos="9637" w:leader="dot"/>
            </w:tabs>
            <w:rPr/>
          </w:pPr>
          <w:hyperlink w:anchor="__RefHeading___Toc1337_3003605631">
            <w:r>
              <w:rPr>
                <w:rStyle w:val="IndexLink"/>
              </w:rPr>
              <w:t>6.8 Otros hábitats naturales</w:t>
            </w:r>
          </w:hyperlink>
        </w:p>
        <w:p>
          <w:pPr>
            <w:pStyle w:val="TOC2"/>
            <w:tabs>
              <w:tab w:val="clear" w:pos="708"/>
              <w:tab w:val="right" w:pos="9637" w:leader="dot"/>
            </w:tabs>
            <w:rPr/>
          </w:pPr>
          <w:hyperlink w:anchor="__RefHeading___Toc1339_3003605631">
            <w:r>
              <w:rPr>
                <w:rStyle w:val="IndexLink"/>
              </w:rPr>
              <w:t>6.9 Superficie foestal</w:t>
            </w:r>
          </w:hyperlink>
        </w:p>
        <w:p>
          <w:pPr>
            <w:pStyle w:val="TOC2"/>
            <w:tabs>
              <w:tab w:val="clear" w:pos="708"/>
              <w:tab w:val="right" w:pos="9637" w:leader="dot"/>
            </w:tabs>
            <w:rPr/>
          </w:pPr>
          <w:hyperlink w:anchor="__RefHeading___Toc1341_3003605631">
            <w:r>
              <w:rPr>
                <w:rStyle w:val="IndexLink"/>
              </w:rPr>
              <w:t>6.10 Hidrografía</w:t>
            </w:r>
          </w:hyperlink>
        </w:p>
        <w:p>
          <w:pPr>
            <w:pStyle w:val="TOC2"/>
            <w:tabs>
              <w:tab w:val="clear" w:pos="708"/>
              <w:tab w:val="right" w:pos="9637" w:leader="dot"/>
            </w:tabs>
            <w:rPr/>
          </w:pPr>
          <w:hyperlink w:anchor="__RefHeading___Toc1343_3003605631">
            <w:r>
              <w:rPr>
                <w:rStyle w:val="IndexLink"/>
              </w:rPr>
              <w:t>6.11 Zonas inundables</w:t>
            </w:r>
          </w:hyperlink>
        </w:p>
        <w:p>
          <w:pPr>
            <w:pStyle w:val="TOC2"/>
            <w:tabs>
              <w:tab w:val="clear" w:pos="708"/>
              <w:tab w:val="right" w:pos="9637" w:leader="dot"/>
            </w:tabs>
            <w:rPr/>
          </w:pPr>
          <w:hyperlink w:anchor="__RefHeading___Toc1345_3003605631">
            <w:r>
              <w:rPr>
                <w:rStyle w:val="IndexLink"/>
              </w:rPr>
              <w:t>6.12 Características agrológicas y ganaderas del terreno</w:t>
            </w:r>
          </w:hyperlink>
        </w:p>
        <w:p>
          <w:pPr>
            <w:pStyle w:val="TOC2"/>
            <w:tabs>
              <w:tab w:val="clear" w:pos="708"/>
              <w:tab w:val="right" w:pos="9637" w:leader="dot"/>
            </w:tabs>
            <w:rPr/>
          </w:pPr>
          <w:hyperlink w:anchor="__RefHeading___Toc1347_3003605631">
            <w:r>
              <w:rPr>
                <w:rStyle w:val="IndexLink"/>
              </w:rPr>
              <w:t>6.13 Condicionantes de patrimonio cultural</w:t>
            </w:r>
          </w:hyperlink>
        </w:p>
        <w:p>
          <w:pPr>
            <w:pStyle w:val="TOC1"/>
            <w:tabs>
              <w:tab w:val="clear" w:pos="708"/>
              <w:tab w:val="right" w:pos="9637" w:leader="dot"/>
            </w:tabs>
            <w:rPr/>
          </w:pPr>
          <w:hyperlink w:anchor="__RefHeading___Toc1349_3003605631">
            <w:r>
              <w:rPr>
                <w:rStyle w:val="IndexLink"/>
              </w:rPr>
              <w:t>7 Medidas preventivas, compensatorias y correctivas</w:t>
            </w:r>
          </w:hyperlink>
        </w:p>
        <w:p>
          <w:pPr>
            <w:pStyle w:val="TOC1"/>
            <w:tabs>
              <w:tab w:val="clear" w:pos="708"/>
              <w:tab w:val="right" w:pos="9637" w:leader="dot"/>
            </w:tabs>
            <w:rPr/>
          </w:pPr>
          <w:hyperlink w:anchor="__RefHeading___Toc1351_3003605631">
            <w:r>
              <w:rPr>
                <w:rStyle w:val="IndexLink"/>
              </w:rPr>
              <w:t>8 Residuo próximo a la parcela</w:t>
            </w:r>
          </w:hyperlink>
          <w:r>
            <w:rPr>
              <w:rStyle w:val="IndexLink"/>
            </w:rPr>
            <w:fldChar w:fldCharType="end"/>
          </w:r>
        </w:p>
      </w:sdtContent>
    </w:sdt>
    <w:p>
      <w:pPr>
        <w:pStyle w:val="ListParagraph"/>
        <w:rPr>
          <w:b/>
          <w:bCs/>
          <w:sz w:val="28"/>
          <w:szCs w:val="28"/>
        </w:rPr>
      </w:pPr>
      <w:r>
        <w:rPr>
          <w:b/>
          <w:bCs/>
          <w:sz w:val="28"/>
          <w:szCs w:val="28"/>
        </w:rPr>
      </w:r>
      <w:r>
        <w:br w:type="page"/>
      </w:r>
    </w:p>
    <w:p>
      <w:pPr>
        <w:pStyle w:val="Heading1"/>
        <w:spacing w:before="0" w:after="360"/>
        <w:ind w:hanging="567" w:left="567"/>
        <w:rPr/>
      </w:pPr>
      <w:bookmarkStart w:id="0" w:name="__RefHeading___Toc1295_3003605631"/>
      <w:bookmarkStart w:id="1" w:name="_Toc232058866"/>
      <w:bookmarkEnd w:id="0"/>
      <w:r>
        <w:rPr/>
        <w:t>Datos identificativos de la planta de biometano</w:t>
      </w:r>
      <w:bookmarkEnd w:id="1"/>
    </w:p>
    <w:tbl>
      <w:tblPr>
        <w:tblW w:w="5000" w:type="pct"/>
        <w:jc w:val="center"/>
        <w:tblInd w:w="0" w:type="dxa"/>
        <w:tblLayout w:type="fixed"/>
        <w:tblCellMar>
          <w:top w:w="0" w:type="dxa"/>
          <w:left w:w="7" w:type="dxa"/>
          <w:bottom w:w="0" w:type="dxa"/>
          <w:right w:w="7" w:type="dxa"/>
        </w:tblCellMar>
        <w:tblLook w:val="04a0" w:noHBand="0" w:noVBand="1" w:firstColumn="1" w:lastRow="0" w:lastColumn="0" w:firstRow="1"/>
      </w:tblPr>
      <w:tblGrid>
        <w:gridCol w:w="5376"/>
        <w:gridCol w:w="4262"/>
      </w:tblGrid>
      <w:tr>
        <w:trPr>
          <w:trHeight w:val="288" w:hRule="atLeast"/>
        </w:trPr>
        <w:tc>
          <w:tcPr>
            <w:tcW w:w="9638" w:type="dxa"/>
            <w:gridSpan w:val="2"/>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b/>
                <w:color w:themeColor="dark1" w:val="000000"/>
              </w:rPr>
            </w:pPr>
            <w:r>
              <w:rPr>
                <w:b/>
                <w:color w:themeColor="dark1" w:val="000000"/>
              </w:rPr>
              <w:t>INFORMACIÓN BÁSICA</w:t>
            </w:r>
          </w:p>
        </w:tc>
      </w:tr>
      <w:tr>
        <w:trPr>
          <w:trHeight w:val="288" w:hRule="atLeast"/>
        </w:trPr>
        <w:tc>
          <w:tcPr>
            <w:tcW w:w="5376"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Nombre</w:t>
            </w:r>
          </w:p>
        </w:tc>
        <w:tc>
          <w:tcPr>
            <w:tcW w:w="4262"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Por definir</w:t>
            </w:r>
          </w:p>
        </w:tc>
      </w:tr>
      <w:tr>
        <w:trPr>
          <w:trHeight w:val="455" w:hRule="atLeast"/>
        </w:trPr>
        <w:tc>
          <w:tcPr>
            <w:tcW w:w="5376"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Distancia a la red gasista (metros)</w:t>
            </w:r>
          </w:p>
        </w:tc>
        <w:tc>
          <w:tcPr>
            <w:tcW w:w="4262"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530</w:t>
            </w:r>
          </w:p>
        </w:tc>
      </w:tr>
      <w:tr>
        <w:trPr>
          <w:trHeight w:val="288" w:hRule="atLeast"/>
        </w:trPr>
        <w:tc>
          <w:tcPr>
            <w:tcW w:w="5376"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Ubicación</w:t>
            </w:r>
          </w:p>
        </w:tc>
        <w:tc>
          <w:tcPr>
            <w:tcW w:w="4262"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Alcazar De San Juan (Ciudad Real)</w:t>
            </w:r>
          </w:p>
        </w:tc>
      </w:tr>
      <w:tr>
        <w:trPr>
          <w:trHeight w:val="288" w:hRule="atLeast"/>
        </w:trPr>
        <w:tc>
          <w:tcPr>
            <w:tcW w:w="5376"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Superficie catastral (Ha)</w:t>
            </w:r>
          </w:p>
        </w:tc>
        <w:tc>
          <w:tcPr>
            <w:tcW w:w="4262"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14.6</w:t>
            </w:r>
          </w:p>
        </w:tc>
      </w:tr>
      <w:tr>
        <w:trPr>
          <w:trHeight w:val="288" w:hRule="atLeast"/>
        </w:trPr>
        <w:tc>
          <w:tcPr>
            <w:tcW w:w="5376"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Superficie planta de biogás (Ha)</w:t>
            </w:r>
          </w:p>
        </w:tc>
        <w:tc>
          <w:tcPr>
            <w:tcW w:w="4262"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14.6</w:t>
            </w:r>
          </w:p>
        </w:tc>
      </w:tr>
    </w:tbl>
    <w:p>
      <w:pPr>
        <w:pStyle w:val="Normal"/>
        <w:ind w:hanging="0" w:right="113"/>
        <w:rPr>
          <w:rFonts w:ascii="Cambria" w:hAnsi="Cambria" w:eastAsia="Cambria" w:cs="Cambria"/>
          <w:color w:val="000000"/>
          <w:szCs w:val="20"/>
        </w:rPr>
      </w:pPr>
      <w:r>
        <w:rPr>
          <w:rFonts w:eastAsia="Cambria" w:cs="Cambria" w:ascii="Cambria" w:hAnsi="Cambria"/>
          <w:color w:val="000000"/>
          <w:szCs w:val="20"/>
        </w:rPr>
      </w:r>
    </w:p>
    <w:tbl>
      <w:tblPr>
        <w:tblW w:w="5000" w:type="pct"/>
        <w:jc w:val="center"/>
        <w:tblInd w:w="0" w:type="dxa"/>
        <w:tblLayout w:type="fixed"/>
        <w:tblCellMar>
          <w:top w:w="0" w:type="dxa"/>
          <w:left w:w="7" w:type="dxa"/>
          <w:bottom w:w="0" w:type="dxa"/>
          <w:right w:w="7" w:type="dxa"/>
        </w:tblCellMar>
        <w:tblLook w:val="04a0" w:noHBand="0" w:noVBand="1" w:firstColumn="1" w:lastRow="0" w:lastColumn="0" w:firstRow="1"/>
      </w:tblPr>
      <w:tblGrid>
        <w:gridCol w:w="1463"/>
        <w:gridCol w:w="1326"/>
        <w:gridCol w:w="2595"/>
        <w:gridCol w:w="4254"/>
      </w:tblGrid>
      <w:tr>
        <w:trPr>
          <w:trHeight w:val="288" w:hRule="atLeast"/>
        </w:trPr>
        <w:tc>
          <w:tcPr>
            <w:tcW w:w="1463"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b/>
                <w:color w:themeColor="dark1" w:val="000000"/>
              </w:rPr>
            </w:pPr>
            <w:r>
              <w:rPr>
                <w:b/>
                <w:color w:themeColor="dark1" w:val="000000"/>
              </w:rPr>
              <w:t>POLÍGONO</w:t>
            </w:r>
          </w:p>
        </w:tc>
        <w:tc>
          <w:tcPr>
            <w:tcW w:w="1326"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b/>
                <w:color w:themeColor="dark1" w:val="000000"/>
              </w:rPr>
            </w:pPr>
            <w:r>
              <w:rPr>
                <w:b/>
                <w:color w:themeColor="dark1" w:val="000000"/>
              </w:rPr>
              <w:t>PARCELA</w:t>
            </w:r>
          </w:p>
        </w:tc>
        <w:tc>
          <w:tcPr>
            <w:tcW w:w="2595"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b/>
                <w:color w:themeColor="dark1" w:val="000000"/>
              </w:rPr>
            </w:pPr>
            <w:r>
              <w:rPr>
                <w:b/>
                <w:color w:themeColor="dark1" w:val="000000"/>
              </w:rPr>
              <w:t>REF. CATASTRAL</w:t>
            </w:r>
          </w:p>
        </w:tc>
        <w:tc>
          <w:tcPr>
            <w:tcW w:w="4254"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b/>
                <w:color w:themeColor="dark1" w:val="000000"/>
              </w:rPr>
            </w:pPr>
            <w:r>
              <w:rPr>
                <w:b/>
                <w:color w:themeColor="dark1" w:val="000000"/>
              </w:rPr>
              <w:t>SUP. CATASTRAL (m²)</w:t>
            </w:r>
          </w:p>
        </w:tc>
      </w:tr>
      <w:tr>
        <w:trPr>
          <w:trHeight w:val="419" w:hRule="atLeast"/>
        </w:trPr>
        <w:tc>
          <w:tcPr>
            <w:tcW w:w="146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w:t>
            </w:r>
          </w:p>
        </w:tc>
        <w:tc>
          <w:tcPr>
            <w:tcW w:w="1326"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w:t>
            </w:r>
          </w:p>
        </w:tc>
        <w:tc>
          <w:tcPr>
            <w:tcW w:w="2595"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w:t>
            </w:r>
          </w:p>
        </w:tc>
        <w:tc>
          <w:tcPr>
            <w:tcW w:w="425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14.6</w:t>
            </w:r>
          </w:p>
        </w:tc>
      </w:tr>
    </w:tbl>
    <w:p>
      <w:pPr>
        <w:pStyle w:val="ListParagraph"/>
        <w:spacing w:before="360" w:after="240"/>
        <w:rPr/>
      </w:pPr>
      <w:r>
        <w:rPr/>
        <w:t>Tal y como se muestra en las tablas anteriores, la superficie catastral total de las parcelas en estudio es de</w:t>
      </w:r>
      <w:r>
        <w:rPr>
          <w:color w:val="000000"/>
        </w:rPr>
        <w:t xml:space="preserve"> 14.6 m</w:t>
      </w:r>
      <w:r>
        <w:rPr>
          <w:color w:val="000000"/>
          <w:vertAlign w:val="superscript"/>
        </w:rPr>
        <w:t>2</w:t>
      </w:r>
      <w:r>
        <w:rPr/>
        <w:t xml:space="preserve">. Sin embargo, </w:t>
      </w:r>
      <w:r>
        <w:rPr>
          <w:u w:val="single"/>
        </w:rPr>
        <w:t>no se pretende ocupar la totalidad de las parcelas</w:t>
      </w:r>
      <w:r>
        <w:rPr/>
        <w:t xml:space="preserve"> en el desarrollo del proyecto, sino que el diseño de la planta ya contempla superficie libre para implantar medidas preventivas, compensatorias y correctivas. </w:t>
      </w:r>
    </w:p>
    <w:p>
      <w:pPr>
        <w:pStyle w:val="ListParagraph"/>
        <w:spacing w:before="360" w:after="240"/>
        <w:rPr/>
      </w:pPr>
      <w:r>
        <w:rPr/>
      </w:r>
      <w:r>
        <w:br w:type="page"/>
      </w:r>
    </w:p>
    <w:p>
      <w:pPr>
        <w:pStyle w:val="Heading1"/>
        <w:spacing w:before="0" w:after="360"/>
        <w:ind w:hanging="567" w:left="567"/>
        <w:rPr/>
      </w:pPr>
      <w:bookmarkStart w:id="2" w:name="__RefHeading___Toc1297_3003605631"/>
      <w:bookmarkStart w:id="3" w:name="_Toc232044913"/>
      <w:bookmarkStart w:id="4" w:name="_Toc183517958"/>
      <w:bookmarkStart w:id="5" w:name="_Toc232044942"/>
      <w:bookmarkStart w:id="6" w:name="_Toc232058867"/>
      <w:bookmarkEnd w:id="2"/>
      <w:r>
        <w:rPr/>
        <w:t>Objeto del informe</w:t>
      </w:r>
      <w:bookmarkEnd w:id="3"/>
      <w:bookmarkEnd w:id="4"/>
      <w:bookmarkEnd w:id="5"/>
      <w:bookmarkEnd w:id="6"/>
    </w:p>
    <w:p>
      <w:pPr>
        <w:pStyle w:val="ListParagraph"/>
        <w:rPr/>
      </w:pPr>
      <w:r>
        <w:rPr/>
        <w:t xml:space="preserve">Mediante la redacción del presente informe, se pretende realizar un análisis de las afecciones urbanísticas y ambientales de las parcelas planteadas como posible alternativa para la ubicación del proyecto renovable en el Término Municipal de </w:t>
      </w:r>
      <w:bookmarkStart w:id="7" w:name="_Hlk194495713"/>
      <w:r>
        <w:rPr/>
        <w:t>Alcazar De San Juan (Ciudad Real</w:t>
      </w:r>
      <w:bookmarkEnd w:id="7"/>
      <w:r>
        <w:rPr/>
        <w:t xml:space="preserve">). De este análisis, se obtendrá información sobre la viabilidad de las parcelas y los condicionantes y potenciales afecciones existentes en la superficie objeto, con la finalidad de </w:t>
      </w:r>
      <w:r>
        <w:rPr>
          <w:b/>
        </w:rPr>
        <w:t>definir una correcta ordenación de los elementos a implantar en la superficie disponible</w:t>
      </w:r>
      <w:r>
        <w:rPr/>
        <w:t>.</w:t>
      </w:r>
    </w:p>
    <w:p>
      <w:pPr>
        <w:pStyle w:val="ListParagraph"/>
        <w:rPr/>
      </w:pPr>
      <w:r>
        <w:rPr/>
      </w:r>
      <w:r>
        <w:br w:type="page"/>
      </w:r>
    </w:p>
    <w:p>
      <w:pPr>
        <w:pStyle w:val="Heading1"/>
        <w:spacing w:before="0" w:after="360"/>
        <w:ind w:hanging="567" w:left="567"/>
        <w:rPr/>
      </w:pPr>
      <w:bookmarkStart w:id="8" w:name="__RefHeading___Toc1299_3003605631"/>
      <w:bookmarkStart w:id="9" w:name="_Toc183517959"/>
      <w:bookmarkStart w:id="10" w:name="_Toc232044914"/>
      <w:bookmarkStart w:id="11" w:name="_Toc232044943"/>
      <w:bookmarkStart w:id="12" w:name="_Toc232058868"/>
      <w:bookmarkEnd w:id="8"/>
      <w:r>
        <w:rPr/>
        <w:t>Descripción de las parcela propuesta</w:t>
      </w:r>
      <w:bookmarkEnd w:id="9"/>
      <w:bookmarkEnd w:id="10"/>
      <w:bookmarkEnd w:id="11"/>
      <w:bookmarkEnd w:id="12"/>
    </w:p>
    <w:p>
      <w:pPr>
        <w:pStyle w:val="Heading2"/>
        <w:ind w:hanging="578" w:left="578"/>
        <w:rPr/>
      </w:pPr>
      <w:bookmarkStart w:id="13" w:name="__RefHeading___Toc1301_3003605631"/>
      <w:bookmarkStart w:id="14" w:name="_Toc232044915"/>
      <w:bookmarkStart w:id="15" w:name="_Toc232044944"/>
      <w:bookmarkStart w:id="16" w:name="_Toc232058869"/>
      <w:bookmarkStart w:id="17" w:name="_Toc183517960"/>
      <w:bookmarkEnd w:id="13"/>
      <w:r>
        <w:rPr/>
        <w:t>Emplazamiento</w:t>
      </w:r>
      <w:bookmarkEnd w:id="14"/>
      <w:bookmarkEnd w:id="15"/>
      <w:bookmarkEnd w:id="16"/>
      <w:bookmarkEnd w:id="17"/>
    </w:p>
    <w:p>
      <w:pPr>
        <w:pStyle w:val="ListParagraph"/>
        <w:rPr/>
      </w:pPr>
      <w:r>
        <w:rPr/>
        <w:t xml:space="preserve">Alcazar De San Juan es municipio español de la provincia de Ciudad Real, en la comunidad autónoma de Castilla La Mancha. La parcela en estudio se sitúa en las siguientes coordenadas: </w:t>
      </w:r>
    </w:p>
    <w:p>
      <w:pPr>
        <w:pStyle w:val="ListParagraph"/>
        <w:numPr>
          <w:ilvl w:val="0"/>
          <w:numId w:val="3"/>
        </w:numPr>
        <w:rPr/>
      </w:pPr>
      <w:r>
        <w:rPr>
          <w:b/>
          <w:bCs/>
        </w:rPr>
        <w:t>Longitud</w:t>
      </w:r>
      <w:r>
        <w:rPr/>
        <w:t>: **.************º</w:t>
      </w:r>
    </w:p>
    <w:p>
      <w:pPr>
        <w:pStyle w:val="ListParagraph"/>
        <w:numPr>
          <w:ilvl w:val="0"/>
          <w:numId w:val="3"/>
        </w:numPr>
        <w:spacing w:before="115" w:after="240"/>
        <w:rPr/>
      </w:pPr>
      <w:r>
        <w:rPr>
          <w:b/>
          <w:bCs/>
        </w:rPr>
        <w:t>Latitud</w:t>
      </w:r>
      <w:r>
        <w:rPr/>
        <w:t>: **.************º</w:t>
      </w:r>
    </w:p>
    <w:tbl>
      <w:tblPr>
        <w:tblW w:w="5000" w:type="pct"/>
        <w:jc w:val="center"/>
        <w:tblInd w:w="0" w:type="dxa"/>
        <w:tblLayout w:type="fixed"/>
        <w:tblCellMar>
          <w:top w:w="0" w:type="dxa"/>
          <w:left w:w="7" w:type="dxa"/>
          <w:bottom w:w="0" w:type="dxa"/>
          <w:right w:w="7" w:type="dxa"/>
        </w:tblCellMar>
        <w:tblLook w:val="04a0" w:noHBand="0" w:noVBand="1" w:firstColumn="1" w:lastRow="0" w:lastColumn="0" w:firstRow="1"/>
      </w:tblPr>
      <w:tblGrid>
        <w:gridCol w:w="4818"/>
        <w:gridCol w:w="4820"/>
      </w:tblGrid>
      <w:tr>
        <w:trPr/>
        <w:tc>
          <w:tcPr>
            <w:tcW w:w="4818" w:type="dxa"/>
            <w:tcBorders>
              <w:top w:val="single" w:sz="6" w:space="0" w:color="BFBFBF"/>
              <w:left w:val="single" w:sz="6" w:space="0" w:color="BFBFBF"/>
              <w:bottom w:val="single" w:sz="6" w:space="0" w:color="BFBFBF"/>
              <w:right w:val="single" w:sz="6" w:space="0" w:color="BFBFBF"/>
            </w:tcBorders>
            <w:vAlign w:val="center"/>
          </w:tcPr>
          <w:p>
            <w:pPr>
              <w:pStyle w:val="tabla"/>
              <w:spacing w:before="113" w:after="57"/>
              <w:rPr/>
            </w:pPr>
            <w:r>
              <w:rPr/>
              <w:drawing>
                <wp:inline distT="0" distB="0" distL="0" distR="0">
                  <wp:extent cx="2857500" cy="285750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3"/>
                          <a:stretch>
                            <a:fillRect/>
                          </a:stretch>
                        </pic:blipFill>
                        <pic:spPr bwMode="auto">
                          <a:xfrm>
                            <a:off x="0" y="0"/>
                            <a:ext cx="2857500" cy="2857500"/>
                          </a:xfrm>
                          <a:prstGeom prst="rect">
                            <a:avLst/>
                          </a:prstGeom>
                          <a:noFill/>
                        </pic:spPr>
                      </pic:pic>
                    </a:graphicData>
                  </a:graphic>
                </wp:inline>
              </w:drawing>
            </w:r>
          </w:p>
        </w:tc>
        <w:tc>
          <w:tcPr>
            <w:tcW w:w="4820" w:type="dxa"/>
            <w:tcBorders>
              <w:top w:val="single" w:sz="6" w:space="0" w:color="BFBFBF"/>
              <w:left w:val="single" w:sz="6" w:space="0" w:color="BFBFBF"/>
              <w:bottom w:val="single" w:sz="6" w:space="0" w:color="BFBFBF"/>
              <w:right w:val="single" w:sz="6" w:space="0" w:color="BFBFBF"/>
            </w:tcBorders>
            <w:vAlign w:val="center"/>
          </w:tcPr>
          <w:p>
            <w:pPr>
              <w:pStyle w:val="tabla"/>
              <w:spacing w:before="113" w:after="57"/>
              <w:rPr/>
            </w:pPr>
            <w:r>
              <w:rPr/>
              <w:drawing>
                <wp:inline distT="0" distB="0" distL="0" distR="0">
                  <wp:extent cx="2857500" cy="285750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4"/>
                          <a:stretch>
                            <a:fillRect/>
                          </a:stretch>
                        </pic:blipFill>
                        <pic:spPr bwMode="auto">
                          <a:xfrm>
                            <a:off x="0" y="0"/>
                            <a:ext cx="2857500" cy="2857500"/>
                          </a:xfrm>
                          <a:prstGeom prst="rect">
                            <a:avLst/>
                          </a:prstGeom>
                          <a:noFill/>
                        </pic:spPr>
                      </pic:pic>
                    </a:graphicData>
                  </a:graphic>
                </wp:inline>
              </w:drawing>
            </w:r>
          </w:p>
        </w:tc>
      </w:tr>
      <w:tr>
        <w:trPr>
          <w:trHeight w:val="89" w:hRule="atLeast"/>
        </w:trPr>
        <w:tc>
          <w:tcPr>
            <w:tcW w:w="9638" w:type="dxa"/>
            <w:gridSpan w:val="2"/>
            <w:tcBorders>
              <w:top w:val="single" w:sz="6" w:space="0" w:color="BFBFBF"/>
              <w:left w:val="single" w:sz="6" w:space="0" w:color="BFBFBF"/>
              <w:bottom w:val="single" w:sz="6" w:space="0" w:color="BFBFBF"/>
              <w:right w:val="single" w:sz="6" w:space="0" w:color="BFBFBF"/>
            </w:tcBorders>
            <w:shd w:color="auto" w:fill="FDF9E9" w:val="clear"/>
          </w:tcPr>
          <w:p>
            <w:pPr>
              <w:pStyle w:val="tabla"/>
              <w:spacing w:before="120" w:after="120"/>
              <w:rPr>
                <w:color w:val="000000"/>
                <w:sz w:val="16"/>
                <w:szCs w:val="16"/>
              </w:rPr>
            </w:pPr>
            <w:r>
              <w:rPr>
                <w:i/>
                <w:iCs/>
              </w:rPr>
              <w:t>Ubicación de las parcelas sobre mapa topográfico</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18" w:name="__RefHeading___Toc1303_3003605631"/>
      <w:bookmarkStart w:id="19" w:name="_Toc232044916"/>
      <w:bookmarkStart w:id="20" w:name="_Toc232044945"/>
      <w:bookmarkStart w:id="21" w:name="_Toc232058870"/>
      <w:bookmarkStart w:id="22" w:name="_Toc183517961"/>
      <w:bookmarkEnd w:id="18"/>
      <w:r>
        <w:rPr/>
        <w:t>D</w:t>
      </w:r>
      <w:bookmarkEnd w:id="22"/>
      <w:r>
        <w:rPr/>
        <w:t>istancia a la red de gas</w:t>
      </w:r>
      <w:bookmarkEnd w:id="19"/>
      <w:bookmarkEnd w:id="20"/>
      <w:bookmarkEnd w:id="21"/>
    </w:p>
    <w:p>
      <w:pPr>
        <w:pStyle w:val="ListParagraph"/>
        <w:rPr/>
      </w:pPr>
      <w:r>
        <w:rPr>
          <w:rStyle w:val="Strong"/>
          <w:b w:val="false"/>
          <w:bCs w:val="false"/>
        </w:rPr>
        <w:t>La distancia mínima en línea recta entre la parcela objeto de estudio y la red de gas es de 530 metros.</w:t>
      </w:r>
    </w:p>
    <w:p>
      <w:pPr>
        <w:pStyle w:val="ListParagraph"/>
        <w:spacing w:before="187" w:after="101"/>
        <w:rPr/>
      </w:pPr>
      <w:r>
        <w:rPr/>
        <w:t xml:space="preserve">La parcela se encuentra a una </w:t>
      </w:r>
      <w:r>
        <w:rPr>
          <w:b/>
          <w:bCs/>
        </w:rPr>
        <w:t>distancia aceptable</w:t>
      </w:r>
      <w:r>
        <w:rPr/>
        <w:t xml:space="preserve"> respecto a la red de gas, lo cual puede favorecer la viabilidad técnica y económica del proyecto de biometano al facilitar la conexión.</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6746"/>
        <w:gridCol w:w="2892"/>
      </w:tblGrid>
      <w:tr>
        <w:trPr>
          <w:cantSplit w:val="true"/>
        </w:trPr>
        <w:tc>
          <w:tcPr>
            <w:tcW w:w="6746" w:type="dxa"/>
            <w:vMerge w:val="restart"/>
            <w:tcBorders>
              <w:top w:val="single" w:sz="4" w:space="0" w:color="DDDDDD"/>
              <w:left w:val="single" w:sz="4" w:space="0" w:color="DDDDDD"/>
              <w:bottom w:val="single" w:sz="4" w:space="0" w:color="DDDDDD"/>
            </w:tcBorders>
            <w:vAlign w:val="center"/>
          </w:tcPr>
          <w:p>
            <w:pPr>
              <w:pStyle w:val="tabla"/>
              <w:keepNext w:val="true"/>
              <w:spacing w:before="113" w:after="57"/>
              <w:rPr>
                <w:lang w:val="es-ES"/>
              </w:rPr>
            </w:pPr>
            <w:r>
              <w:rPr/>
              <w:drawing>
                <wp:inline distT="0" distB="0" distL="0" distR="0">
                  <wp:extent cx="4095115" cy="409511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5"/>
                          <a:stretch>
                            <a:fillRect/>
                          </a:stretch>
                        </pic:blipFill>
                        <pic:spPr bwMode="auto">
                          <a:xfrm>
                            <a:off x="0" y="0"/>
                            <a:ext cx="4095115" cy="4095115"/>
                          </a:xfrm>
                          <a:prstGeom prst="rect">
                            <a:avLst/>
                          </a:prstGeom>
                          <a:noFill/>
                        </pic:spPr>
                      </pic:pic>
                    </a:graphicData>
                  </a:graphic>
                </wp:inline>
              </w:drawing>
            </w:r>
          </w:p>
        </w:tc>
        <w:tc>
          <w:tcPr>
            <w:tcW w:w="2892" w:type="dxa"/>
            <w:tcBorders>
              <w:top w:val="single" w:sz="4" w:space="0" w:color="DDDDDD"/>
              <w:left w:val="single" w:sz="4" w:space="0" w:color="DDDDDD"/>
              <w:bottom w:val="single" w:sz="4" w:space="0" w:color="DDDDDD"/>
              <w:right w:val="single" w:sz="4" w:space="0" w:color="DDDDDD"/>
            </w:tcBorders>
            <w:shd w:color="auto" w:fill="DDEFDD" w:val="clear"/>
          </w:tcPr>
          <w:p>
            <w:pPr>
              <w:pStyle w:val="tabla"/>
              <w:spacing w:before="120" w:after="120"/>
              <w:rPr>
                <w:b/>
                <w:bCs/>
              </w:rPr>
            </w:pPr>
            <w:r>
              <w:rPr>
                <w:b/>
                <w:bCs/>
              </w:rPr>
              <w:t>LEYENDA</w:t>
            </w:r>
          </w:p>
        </w:tc>
      </w:tr>
      <w:tr>
        <w:trPr>
          <w:cantSplit w:val="true"/>
        </w:trPr>
        <w:tc>
          <w:tcPr>
            <w:tcW w:w="6746" w:type="dxa"/>
            <w:vMerge w:val="continue"/>
            <w:tcBorders>
              <w:left w:val="single" w:sz="4" w:space="0" w:color="DDDDDD"/>
              <w:bottom w:val="single" w:sz="4" w:space="0" w:color="DDDDDD"/>
            </w:tcBorders>
          </w:tcPr>
          <w:p>
            <w:pPr>
              <w:pStyle w:val="tabla"/>
              <w:keepNext w:val="true"/>
              <w:spacing w:before="120" w:after="120"/>
              <w:rPr/>
            </w:pPr>
            <w:r>
              <w:rPr/>
            </w:r>
          </w:p>
        </w:tc>
        <w:tc>
          <w:tcPr>
            <w:tcW w:w="2892" w:type="dxa"/>
            <w:tcBorders>
              <w:left w:val="single" w:sz="4" w:space="0" w:color="DDDDDD"/>
              <w:bottom w:val="single" w:sz="4" w:space="0" w:color="DDDDDD"/>
              <w:right w:val="single" w:sz="4" w:space="0" w:color="DDDDDD"/>
            </w:tcBorders>
          </w:tcPr>
          <w:p>
            <w:pPr>
              <w:pStyle w:val="tabla"/>
              <w:spacing w:before="170" w:after="113"/>
              <w:ind w:hanging="0" w:left="170"/>
              <w:jc w:val="left"/>
              <w:rPr>
                <w:lang w:val="es-ES"/>
              </w:rPr>
            </w:pPr>
            <w:r>
              <w:rPr/>
              <w:drawing>
                <wp:inline distT="0" distB="0" distL="0" distR="0">
                  <wp:extent cx="952500" cy="396875"/>
                  <wp:effectExtent l="0" t="0" r="0" b="0"/>
                  <wp:docPr id="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pic:cNvPicPr>
                            <a:picLocks noChangeAspect="1" noChangeArrowheads="1"/>
                          </pic:cNvPicPr>
                        </pic:nvPicPr>
                        <pic:blipFill>
                          <a:blip r:embed="rId6"/>
                          <a:stretch>
                            <a:fillRect/>
                          </a:stretch>
                        </pic:blipFill>
                        <pic:spPr bwMode="auto">
                          <a:xfrm>
                            <a:off x="0" y="0"/>
                            <a:ext cx="952500" cy="396875"/>
                          </a:xfrm>
                          <a:prstGeom prst="rect">
                            <a:avLst/>
                          </a:prstGeom>
                          <a:noFill/>
                        </pic:spPr>
                      </pic:pic>
                    </a:graphicData>
                  </a:graphic>
                </wp:inline>
              </w:drawing>
            </w:r>
          </w:p>
        </w:tc>
      </w:tr>
      <w:tr>
        <w:trPr>
          <w:trHeight w:val="127" w:hRule="atLeast"/>
          <w:cantSplit w:val="true"/>
        </w:trPr>
        <w:tc>
          <w:tcPr>
            <w:tcW w:w="9638" w:type="dxa"/>
            <w:gridSpan w:val="2"/>
            <w:tcBorders>
              <w:left w:val="single" w:sz="4" w:space="0" w:color="DDDDDD"/>
              <w:bottom w:val="single" w:sz="4" w:space="0" w:color="DDDDDD"/>
              <w:right w:val="single" w:sz="4" w:space="0" w:color="DDDDDD"/>
            </w:tcBorders>
            <w:shd w:color="auto" w:fill="FDF9E9" w:val="clear"/>
          </w:tcPr>
          <w:p>
            <w:pPr>
              <w:pStyle w:val="tabla"/>
              <w:spacing w:before="120" w:after="120"/>
              <w:rPr>
                <w:color w:val="000000"/>
                <w:sz w:val="16"/>
                <w:szCs w:val="16"/>
              </w:rPr>
            </w:pPr>
            <w:r>
              <w:rPr>
                <w:i/>
                <w:iCs/>
                <w:lang w:val="es-ES"/>
              </w:rPr>
              <w:t>Parcela representada junto a la red gasista</w:t>
            </w:r>
          </w:p>
        </w:tc>
      </w:tr>
    </w:tbl>
    <w:p>
      <w:pPr>
        <w:pStyle w:val="Normal"/>
        <w:rPr>
          <w:rStyle w:val="Strong"/>
          <w:b w:val="false"/>
          <w:bCs w:val="false"/>
        </w:rPr>
      </w:pPr>
      <w:r>
        <w:rPr>
          <w:b w:val="false"/>
          <w:bCs w:val="false"/>
        </w:rPr>
      </w:r>
      <w:r>
        <w:br w:type="page"/>
      </w:r>
    </w:p>
    <w:p>
      <w:pPr>
        <w:pStyle w:val="Heading1"/>
        <w:spacing w:before="0" w:after="360"/>
        <w:ind w:hanging="567" w:left="567"/>
        <w:rPr/>
      </w:pPr>
      <w:bookmarkStart w:id="23" w:name="__RefHeading___Toc1305_3003605631"/>
      <w:bookmarkStart w:id="24" w:name="_Toc232044946"/>
      <w:bookmarkStart w:id="25" w:name="_Toc232058871"/>
      <w:bookmarkStart w:id="26" w:name="_Toc232044917"/>
      <w:bookmarkEnd w:id="23"/>
      <w:r>
        <w:rPr/>
        <w:t>Prefactibilidad ejecutiva</w:t>
      </w:r>
      <w:bookmarkEnd w:id="24"/>
      <w:bookmarkEnd w:id="25"/>
      <w:bookmarkEnd w:id="26"/>
    </w:p>
    <w:p>
      <w:pPr>
        <w:pStyle w:val="Heading2"/>
        <w:ind w:hanging="578" w:left="578"/>
        <w:rPr/>
      </w:pPr>
      <w:bookmarkStart w:id="27" w:name="__RefHeading___Toc1307_3003605631"/>
      <w:bookmarkStart w:id="28" w:name="_Toc232044918"/>
      <w:bookmarkStart w:id="29" w:name="_Toc232058872"/>
      <w:bookmarkStart w:id="30" w:name="_Toc232044947"/>
      <w:bookmarkEnd w:id="27"/>
      <w:r>
        <w:rPr/>
        <w:t>Resumen visual de prefactibilidad</w:t>
      </w:r>
      <w:bookmarkEnd w:id="28"/>
      <w:bookmarkEnd w:id="29"/>
      <w:bookmarkEnd w:id="30"/>
    </w:p>
    <w:p>
      <w:pPr>
        <w:pStyle w:val="ListParagraph"/>
        <w:ind w:hanging="0" w:left="0"/>
        <w:rPr/>
      </w:pPr>
      <w:r>
        <w:rPr/>
        <w:t>El siguiente resumen visual sintetiza la prefactibilidad preliminar de la parcela, integrando la puntuación global y la valoración por bloques principales.</w:t>
      </w:r>
    </w:p>
    <w:p>
      <w:pPr>
        <w:pStyle w:val="ListParagraph"/>
        <w:ind w:hanging="0" w:left="0"/>
        <w:rPr/>
      </w:pPr>
      <w:r>
        <w:rPr/>
        <w:t>Su objetivo es ofrecer una lectura rápida del encaje del proyecto, identificando de forma inmediata los ámbitos favorables y aquellos que requieren mayor análisis o cautela.</w:t>
      </w:r>
    </w:p>
    <w:p>
      <w:pPr>
        <w:pStyle w:val="ListParagraph"/>
        <w:spacing w:before="229" w:after="215"/>
        <w:jc w:val="center"/>
        <w:rPr/>
      </w:pPr>
      <w:r>
        <w:rPr/>
        <w:drawing>
          <wp:inline distT="0" distB="0" distL="0" distR="0">
            <wp:extent cx="6122670" cy="2657475"/>
            <wp:effectExtent l="0" t="0" r="0" b="0"/>
            <wp:docPr id="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pic:cNvPicPr>
                      <a:picLocks noChangeAspect="1" noChangeArrowheads="1"/>
                    </pic:cNvPicPr>
                  </pic:nvPicPr>
                  <pic:blipFill>
                    <a:blip r:embed="rId7"/>
                    <a:stretch>
                      <a:fillRect/>
                    </a:stretch>
                  </pic:blipFill>
                  <pic:spPr bwMode="auto">
                    <a:xfrm>
                      <a:off x="0" y="0"/>
                      <a:ext cx="6122670" cy="2657475"/>
                    </a:xfrm>
                    <a:prstGeom prst="rect">
                      <a:avLst/>
                    </a:prstGeom>
                    <a:noFill/>
                  </pic:spPr>
                </pic:pic>
              </a:graphicData>
            </a:graphic>
          </wp:inline>
        </w:drawing>
      </w:r>
    </w:p>
    <w:p>
      <w:pPr>
        <w:pStyle w:val="Heading2"/>
        <w:ind w:hanging="578" w:left="578"/>
        <w:rPr/>
      </w:pPr>
      <w:bookmarkStart w:id="31" w:name="__RefHeading___Toc1309_3003605631"/>
      <w:bookmarkStart w:id="32" w:name="_Toc232058873"/>
      <w:bookmarkStart w:id="33" w:name="_Toc232044948"/>
      <w:bookmarkStart w:id="34" w:name="_Toc232044919"/>
      <w:bookmarkEnd w:id="31"/>
      <w:r>
        <w:rPr/>
        <w:t>Afecciones relevantes para la decisión</w:t>
      </w:r>
      <w:bookmarkEnd w:id="32"/>
      <w:bookmarkEnd w:id="33"/>
      <w:bookmarkEnd w:id="34"/>
    </w:p>
    <w:tbl>
      <w:tblPr>
        <w:tblStyle w:val="Tablaconcuadrculaclara1"/>
        <w:tblW w:w="9648" w:type="dxa"/>
        <w:jc w:val="center"/>
        <w:tblInd w:w="0" w:type="dxa"/>
        <w:tblLayout w:type="fixed"/>
        <w:tblCellMar>
          <w:top w:w="86" w:type="dxa"/>
          <w:left w:w="5" w:type="dxa"/>
          <w:bottom w:w="144" w:type="dxa"/>
          <w:right w:w="341" w:type="dxa"/>
        </w:tblCellMar>
        <w:tblLook w:val="04a0" w:noHBand="0" w:noVBand="1" w:firstColumn="1" w:lastRow="0" w:lastColumn="0" w:firstRow="1"/>
      </w:tblPr>
      <w:tblGrid>
        <w:gridCol w:w="9648"/>
      </w:tblGrid>
      <w:tr>
        <w:trPr>
          <w:cantSplit w:val="true"/>
        </w:trPr>
        <w:tc>
          <w:tcPr>
            <w:tcW w:w="9648" w:type="dxa"/>
            <w:tcBorders/>
            <w:shd w:color="auto" w:fill="DDEFDD" w:val="clear"/>
            <w:vAlign w:val="center"/>
          </w:tcPr>
          <w:p>
            <w:pPr>
              <w:pStyle w:val="ListParagraph"/>
              <w:spacing w:lineRule="auto" w:line="240" w:before="114" w:after="114"/>
              <w:ind w:hanging="0" w:left="227"/>
              <w:jc w:val="center"/>
              <w:rPr/>
            </w:pPr>
            <w:r>
              <w:rPr>
                <w:rFonts w:eastAsia="Calibri" w:cs="Noto Sans Arabic UI"/>
                <w:b/>
                <w:bCs/>
                <w:kern w:val="0"/>
                <w:sz w:val="20"/>
                <w:szCs w:val="20"/>
                <w:lang w:val="es-ES" w:bidi="ar-SA"/>
              </w:rPr>
              <w:t>AFECCIONES RELEVANTES DE LA PARCELA</w:t>
            </w:r>
          </w:p>
        </w:tc>
      </w:tr>
      <w:tr>
        <w:trPr>
          <w:cantSplit w:val="true"/>
        </w:trPr>
        <w:tc>
          <w:tcPr>
            <w:tcW w:w="9648" w:type="dxa"/>
            <w:tcBorders>
              <w:top w:val="nil"/>
            </w:tcBorders>
            <w:vAlign w:val="center"/>
          </w:tcPr>
          <w:p>
            <w:pPr>
              <w:pStyle w:val="ListParagraph"/>
              <w:spacing w:before="115" w:after="120"/>
              <w:ind w:hanging="0" w:left="227"/>
              <w:jc w:val="center"/>
              <w:rPr/>
            </w:pPr>
            <w:r>
              <w:rPr/>
              <w:drawing>
                <wp:inline distT="0" distB="0" distL="0" distR="0">
                  <wp:extent cx="1077595" cy="266700"/>
                  <wp:effectExtent l="0" t="0" r="0" b="0"/>
                  <wp:docPr id="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pic:cNvPicPr>
                            <a:picLocks noChangeAspect="1" noChangeArrowheads="1"/>
                          </pic:cNvPicPr>
                        </pic:nvPicPr>
                        <pic:blipFill>
                          <a:blip r:embed="rId8"/>
                          <a:stretch>
                            <a:fillRect/>
                          </a:stretch>
                        </pic:blipFill>
                        <pic:spPr bwMode="auto">
                          <a:xfrm>
                            <a:off x="0" y="0"/>
                            <a:ext cx="1077595" cy="266700"/>
                          </a:xfrm>
                          <a:prstGeom prst="rect">
                            <a:avLst/>
                          </a:prstGeom>
                          <a:noFill/>
                        </pic:spPr>
                      </pic:pic>
                    </a:graphicData>
                  </a:graphic>
                </wp:inline>
              </w:drawing>
            </w:r>
          </w:p>
          <w:p>
            <w:pPr>
              <w:pStyle w:val="ListParagraph"/>
              <w:spacing w:before="115" w:after="120"/>
              <w:ind w:hanging="0" w:left="227"/>
              <w:rPr>
                <w:sz w:val="22"/>
                <w:szCs w:val="22"/>
              </w:rPr>
            </w:pPr>
            <w:r>
              <w:rPr>
                <w:rFonts w:eastAsia="Calibri" w:cs="Noto Sans Arabic UI"/>
                <w:b/>
                <w:bCs/>
                <w:kern w:val="0"/>
                <w:sz w:val="22"/>
                <w:szCs w:val="22"/>
                <w:lang w:val="es-ES" w:bidi="ar-SA"/>
              </w:rPr>
              <w:t>Afección</w:t>
            </w:r>
            <w:r>
              <w:rPr>
                <w:rFonts w:eastAsia="Calibri" w:cs="Noto Sans Arabic UI"/>
                <w:kern w:val="0"/>
                <w:sz w:val="22"/>
                <w:szCs w:val="22"/>
                <w:lang w:val="es-ES" w:bidi="ar-SA"/>
              </w:rPr>
              <w:t>: Régimen autonómico de Suelo Rústico de Especial Protección (TRLOTAU)</w:t>
            </w:r>
          </w:p>
          <w:p>
            <w:pPr>
              <w:pStyle w:val="ListParagraph"/>
              <w:spacing w:before="115" w:after="120"/>
              <w:ind w:hanging="0" w:left="227"/>
              <w:rPr>
                <w:sz w:val="22"/>
                <w:szCs w:val="22"/>
              </w:rPr>
            </w:pPr>
            <w:r>
              <w:rPr>
                <w:rFonts w:eastAsia="Calibri" w:cs="Noto Sans Arabic UI"/>
                <w:b/>
                <w:bCs/>
                <w:kern w:val="0"/>
                <w:sz w:val="22"/>
                <w:szCs w:val="22"/>
                <w:lang w:val="es-ES" w:bidi="ar-SA"/>
              </w:rPr>
              <w:t>Categoría</w:t>
            </w:r>
            <w:r>
              <w:rPr>
                <w:rFonts w:eastAsia="Calibri" w:cs="Noto Sans Arabic UI"/>
                <w:kern w:val="0"/>
                <w:sz w:val="22"/>
                <w:szCs w:val="22"/>
                <w:lang w:val="es-ES" w:bidi="ar-SA"/>
              </w:rPr>
              <w:t>: Tramitación</w:t>
            </w:r>
          </w:p>
          <w:p>
            <w:pPr>
              <w:pStyle w:val="ListParagraph"/>
              <w:spacing w:before="115" w:after="120"/>
              <w:ind w:hanging="0" w:left="227"/>
              <w:rPr>
                <w:sz w:val="22"/>
                <w:szCs w:val="22"/>
              </w:rPr>
            </w:pPr>
            <w:r>
              <w:rPr>
                <w:rFonts w:eastAsia="Calibri" w:cs="Noto Sans Arabic UI"/>
                <w:b/>
                <w:bCs/>
                <w:kern w:val="0"/>
                <w:sz w:val="22"/>
                <w:szCs w:val="22"/>
                <w:lang w:val="es-ES" w:bidi="ar-SA"/>
              </w:rPr>
              <w:t>Descripción</w:t>
            </w:r>
            <w:r>
              <w:rPr>
                <w:rFonts w:eastAsia="Calibri" w:cs="Noto Sans Arabic UI"/>
                <w:kern w:val="0"/>
                <w:sz w:val="22"/>
                <w:szCs w:val="22"/>
                <w:lang w:val="es-ES" w:bidi="ar-SA"/>
              </w:rPr>
              <w:t xml:space="preserve">: </w:t>
            </w:r>
            <w:r>
              <w:rPr/>
              <w:t xml:space="preserve">El </w:t>
            </w:r>
            <w:r>
              <w:rPr>
                <w:b/>
                <w:bCs/>
              </w:rPr>
              <w:t>96.16%</w:t>
            </w:r>
            <w:r>
              <w:rPr/>
              <w:t xml:space="preserve"> (14.01 Ha) de la parcela está clasificado bajo protección autonómica/municipal, exigiendo calificación urbanística previa de la Comisión Provincial de Urbanismo e informe ambiental previo a la licencia de obras.</w:t>
            </w:r>
          </w:p>
          <w:p>
            <w:pPr>
              <w:pStyle w:val="ListParagraph"/>
              <w:spacing w:before="115" w:after="120"/>
              <w:ind w:hanging="0" w:left="227"/>
              <w:rPr>
                <w:sz w:val="22"/>
                <w:szCs w:val="22"/>
              </w:rPr>
            </w:pPr>
            <w:r>
              <w:rPr>
                <w:rFonts w:eastAsia="Calibri" w:cs="Noto Sans Arabic UI"/>
                <w:b/>
                <w:bCs/>
                <w:kern w:val="0"/>
                <w:sz w:val="22"/>
                <w:szCs w:val="22"/>
                <w:lang w:val="es-ES" w:bidi="ar-SA"/>
              </w:rPr>
              <w:t>Evidencia</w:t>
            </w:r>
            <w:r>
              <w:rPr>
                <w:rFonts w:eastAsia="Calibri" w:cs="Noto Sans Arabic UI"/>
                <w:kern w:val="0"/>
                <w:sz w:val="22"/>
                <w:szCs w:val="22"/>
                <w:lang w:val="es-ES" w:bidi="ar-SA"/>
              </w:rPr>
              <w:t>: lotau_consolidada_20250717.pdf | Páginas 47, 51, 55 | Artículos 54.4, 61 y 64.4 TRLOTAU</w:t>
            </w:r>
          </w:p>
          <w:p>
            <w:pPr>
              <w:pStyle w:val="ListParagraph"/>
              <w:spacing w:before="115" w:after="120"/>
              <w:ind w:hanging="0" w:left="227"/>
              <w:rPr>
                <w:sz w:val="22"/>
                <w:szCs w:val="22"/>
              </w:rPr>
            </w:pPr>
            <w:r>
              <w:rPr>
                <w:rFonts w:eastAsia="Calibri" w:cs="Noto Sans Arabic UI"/>
                <w:b/>
                <w:bCs/>
                <w:kern w:val="0"/>
                <w:sz w:val="22"/>
                <w:szCs w:val="22"/>
                <w:lang w:val="es-ES" w:bidi="ar-SA"/>
              </w:rPr>
              <w:t>Acción recomendada</w:t>
            </w:r>
            <w:r>
              <w:rPr>
                <w:rFonts w:eastAsia="Calibri" w:cs="Noto Sans Arabic UI"/>
                <w:kern w:val="0"/>
                <w:sz w:val="22"/>
                <w:szCs w:val="22"/>
                <w:lang w:val="es-ES" w:bidi="ar-SA"/>
              </w:rPr>
              <w:t>: Formalizar el expediente de Calificación Urbanística ante la Consejería de Fomento / Delegación Provincial de Ciudad Real.</w:t>
            </w:r>
          </w:p>
        </w:tc>
      </w:tr>
      <w:tr>
        <w:trPr>
          <w:cantSplit w:val="true"/>
        </w:trPr>
        <w:tc>
          <w:tcPr>
            <w:tcW w:w="9648" w:type="dxa"/>
            <w:tcBorders>
              <w:top w:val="nil"/>
            </w:tcBorders>
            <w:vAlign w:val="center"/>
          </w:tcPr>
          <w:p>
            <w:pPr>
              <w:pStyle w:val="ListParagraph"/>
              <w:spacing w:before="115" w:after="120"/>
              <w:ind w:hanging="0" w:left="227"/>
              <w:jc w:val="center"/>
              <w:rPr/>
            </w:pPr>
            <w:r>
              <w:rPr/>
              <w:drawing>
                <wp:inline distT="0" distB="0" distL="0" distR="0">
                  <wp:extent cx="1076960" cy="390525"/>
                  <wp:effectExtent l="0" t="0" r="0" b="0"/>
                  <wp:docPr id="10"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pic:cNvPicPr>
                            <a:picLocks noChangeAspect="1" noChangeArrowheads="1"/>
                          </pic:cNvPicPr>
                        </pic:nvPicPr>
                        <pic:blipFill>
                          <a:blip r:embed="rId9"/>
                          <a:stretch>
                            <a:fillRect/>
                          </a:stretch>
                        </pic:blipFill>
                        <pic:spPr bwMode="auto">
                          <a:xfrm>
                            <a:off x="0" y="0"/>
                            <a:ext cx="1076960" cy="390525"/>
                          </a:xfrm>
                          <a:prstGeom prst="rect">
                            <a:avLst/>
                          </a:prstGeom>
                          <a:noFill/>
                        </pic:spPr>
                      </pic:pic>
                    </a:graphicData>
                  </a:graphic>
                </wp:inline>
              </w:drawing>
            </w:r>
          </w:p>
          <w:p>
            <w:pPr>
              <w:pStyle w:val="ListParagraph"/>
              <w:spacing w:before="115" w:after="120"/>
              <w:ind w:hanging="0" w:left="227"/>
              <w:rPr>
                <w:sz w:val="22"/>
                <w:szCs w:val="22"/>
              </w:rPr>
            </w:pPr>
            <w:r>
              <w:rPr>
                <w:rFonts w:eastAsia="Calibri" w:cs="Noto Sans Arabic UI"/>
                <w:b/>
                <w:bCs/>
                <w:kern w:val="0"/>
                <w:sz w:val="22"/>
                <w:szCs w:val="22"/>
                <w:lang w:val="es-ES" w:bidi="ar-SA"/>
              </w:rPr>
              <w:t>Afección</w:t>
            </w:r>
            <w:r>
              <w:rPr>
                <w:rFonts w:eastAsia="Calibri" w:cs="Noto Sans Arabic UI"/>
                <w:kern w:val="0"/>
                <w:sz w:val="22"/>
                <w:szCs w:val="22"/>
                <w:lang w:val="es-ES" w:bidi="ar-SA"/>
              </w:rPr>
              <w:t>: Habilitación de energías renovables en Suelo Rústico Protegido (Zona 9.8)</w:t>
            </w:r>
          </w:p>
          <w:p>
            <w:pPr>
              <w:pStyle w:val="ListParagraph"/>
              <w:spacing w:before="115" w:after="120"/>
              <w:ind w:hanging="0" w:left="227"/>
              <w:rPr>
                <w:sz w:val="22"/>
                <w:szCs w:val="22"/>
              </w:rPr>
            </w:pPr>
            <w:r>
              <w:rPr>
                <w:rFonts w:eastAsia="Calibri" w:cs="Noto Sans Arabic UI"/>
                <w:b/>
                <w:bCs/>
                <w:kern w:val="0"/>
                <w:sz w:val="22"/>
                <w:szCs w:val="22"/>
                <w:lang w:val="es-ES" w:bidi="ar-SA"/>
              </w:rPr>
              <w:t>Categoría</w:t>
            </w:r>
            <w:r>
              <w:rPr>
                <w:rFonts w:eastAsia="Calibri" w:cs="Noto Sans Arabic UI"/>
                <w:kern w:val="0"/>
                <w:sz w:val="22"/>
                <w:szCs w:val="22"/>
                <w:lang w:val="es-ES" w:bidi="ar-SA"/>
              </w:rPr>
              <w:t>: Urbanismo</w:t>
            </w:r>
          </w:p>
          <w:p>
            <w:pPr>
              <w:pStyle w:val="ListParagraph"/>
              <w:spacing w:before="115" w:after="120"/>
              <w:ind w:hanging="0" w:left="227"/>
              <w:rPr>
                <w:sz w:val="22"/>
                <w:szCs w:val="22"/>
              </w:rPr>
            </w:pPr>
            <w:r>
              <w:rPr>
                <w:rFonts w:eastAsia="Calibri" w:cs="Noto Sans Arabic UI"/>
                <w:b/>
                <w:bCs/>
                <w:kern w:val="0"/>
                <w:sz w:val="22"/>
                <w:szCs w:val="22"/>
                <w:lang w:val="es-ES" w:bidi="ar-SA"/>
              </w:rPr>
              <w:t>Descripción</w:t>
            </w:r>
            <w:r>
              <w:rPr>
                <w:rFonts w:eastAsia="Calibri" w:cs="Noto Sans Arabic UI"/>
                <w:kern w:val="0"/>
                <w:sz w:val="22"/>
                <w:szCs w:val="22"/>
                <w:lang w:val="es-ES" w:bidi="ar-SA"/>
              </w:rPr>
              <w:t>: La Modificación Puntual del PGOU de Alcázar de San Juan (artículo 3.3.4.1.7.a) autoriza expresamente en la Zona 9.8 instalaciones de producción de energía renovable, permitiendo además superar alturas máximas en función de necesidades técnicas singulares.</w:t>
            </w:r>
          </w:p>
          <w:p>
            <w:pPr>
              <w:pStyle w:val="ListParagraph"/>
              <w:spacing w:before="115" w:after="120"/>
              <w:ind w:hanging="0" w:left="227"/>
              <w:rPr>
                <w:sz w:val="22"/>
                <w:szCs w:val="22"/>
              </w:rPr>
            </w:pPr>
            <w:r>
              <w:rPr>
                <w:rFonts w:eastAsia="Calibri" w:cs="Noto Sans Arabic UI"/>
                <w:b/>
                <w:bCs/>
                <w:kern w:val="0"/>
                <w:sz w:val="22"/>
                <w:szCs w:val="22"/>
                <w:lang w:val="es-ES" w:bidi="ar-SA"/>
              </w:rPr>
              <w:t>Evidencia</w:t>
            </w:r>
            <w:r>
              <w:rPr>
                <w:rFonts w:eastAsia="Calibri" w:cs="Noto Sans Arabic UI"/>
                <w:kern w:val="0"/>
                <w:sz w:val="22"/>
                <w:szCs w:val="22"/>
                <w:lang w:val="es-ES" w:bidi="ar-SA"/>
              </w:rPr>
              <w:t>: MODIFICACION PUNTUAL.pdf | Páginas 9-12, 15 | Artículo 3.3.4.1 apartado 7.a</w:t>
            </w:r>
          </w:p>
          <w:p>
            <w:pPr>
              <w:pStyle w:val="ListParagraph"/>
              <w:spacing w:before="115" w:after="120"/>
              <w:ind w:hanging="0" w:left="227"/>
              <w:rPr>
                <w:sz w:val="22"/>
                <w:szCs w:val="22"/>
              </w:rPr>
            </w:pPr>
            <w:r>
              <w:rPr>
                <w:rFonts w:eastAsia="Calibri" w:cs="Noto Sans Arabic UI"/>
                <w:b/>
                <w:bCs/>
                <w:kern w:val="0"/>
                <w:sz w:val="22"/>
                <w:szCs w:val="22"/>
                <w:lang w:val="es-ES" w:bidi="ar-SA"/>
              </w:rPr>
              <w:t>Acción recomendada</w:t>
            </w:r>
            <w:r>
              <w:rPr>
                <w:rFonts w:eastAsia="Calibri" w:cs="Noto Sans Arabic UI"/>
                <w:kern w:val="0"/>
                <w:sz w:val="22"/>
                <w:szCs w:val="22"/>
                <w:lang w:val="es-ES" w:bidi="ar-SA"/>
              </w:rPr>
              <w:t>: Diseñar el anteproyecto justificando la necesidad técnica de las alturas e instalaciones en suelo rústico conforme a los requerimientos del artículo.</w:t>
            </w:r>
          </w:p>
        </w:tc>
      </w:tr>
      <w:tr>
        <w:trPr>
          <w:cantSplit w:val="true"/>
        </w:trPr>
        <w:tc>
          <w:tcPr>
            <w:tcW w:w="9648" w:type="dxa"/>
            <w:tcBorders>
              <w:top w:val="nil"/>
            </w:tcBorders>
            <w:vAlign w:val="center"/>
          </w:tcPr>
          <w:p>
            <w:pPr>
              <w:pStyle w:val="ListParagraph"/>
              <w:spacing w:before="115" w:after="120"/>
              <w:ind w:hanging="0" w:left="227"/>
              <w:jc w:val="center"/>
              <w:rPr/>
            </w:pPr>
            <w:r>
              <w:rPr/>
              <w:drawing>
                <wp:inline distT="0" distB="0" distL="0" distR="0">
                  <wp:extent cx="1076960" cy="390525"/>
                  <wp:effectExtent l="0" t="0" r="0" b="0"/>
                  <wp:docPr id="1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pic:cNvPicPr>
                            <a:picLocks noChangeAspect="1" noChangeArrowheads="1"/>
                          </pic:cNvPicPr>
                        </pic:nvPicPr>
                        <pic:blipFill>
                          <a:blip r:embed="rId10"/>
                          <a:stretch>
                            <a:fillRect/>
                          </a:stretch>
                        </pic:blipFill>
                        <pic:spPr bwMode="auto">
                          <a:xfrm>
                            <a:off x="0" y="0"/>
                            <a:ext cx="1076960" cy="390525"/>
                          </a:xfrm>
                          <a:prstGeom prst="rect">
                            <a:avLst/>
                          </a:prstGeom>
                          <a:noFill/>
                        </pic:spPr>
                      </pic:pic>
                    </a:graphicData>
                  </a:graphic>
                </wp:inline>
              </w:drawing>
            </w:r>
          </w:p>
          <w:p>
            <w:pPr>
              <w:pStyle w:val="ListParagraph"/>
              <w:spacing w:before="115" w:after="120"/>
              <w:ind w:hanging="0" w:left="227"/>
              <w:rPr>
                <w:sz w:val="22"/>
                <w:szCs w:val="22"/>
              </w:rPr>
            </w:pPr>
            <w:r>
              <w:rPr>
                <w:rFonts w:eastAsia="Calibri" w:cs="Noto Sans Arabic UI"/>
                <w:b/>
                <w:bCs/>
                <w:kern w:val="0"/>
                <w:sz w:val="22"/>
                <w:szCs w:val="22"/>
                <w:lang w:val="es-ES" w:bidi="ar-SA"/>
              </w:rPr>
              <w:t>Afección</w:t>
            </w:r>
            <w:r>
              <w:rPr>
                <w:rFonts w:eastAsia="Calibri" w:cs="Noto Sans Arabic UI"/>
                <w:kern w:val="0"/>
                <w:sz w:val="22"/>
                <w:szCs w:val="22"/>
                <w:lang w:val="es-ES" w:bidi="ar-SA"/>
              </w:rPr>
              <w:t>: Cultivos Agrícolas MFE e Implantación en Parcela Neta</w:t>
            </w:r>
          </w:p>
          <w:p>
            <w:pPr>
              <w:pStyle w:val="ListParagraph"/>
              <w:spacing w:before="115" w:after="120"/>
              <w:ind w:hanging="0" w:left="227"/>
              <w:rPr>
                <w:sz w:val="22"/>
                <w:szCs w:val="22"/>
              </w:rPr>
            </w:pPr>
            <w:r>
              <w:rPr>
                <w:rFonts w:eastAsia="Calibri" w:cs="Noto Sans Arabic UI"/>
                <w:b/>
                <w:bCs/>
                <w:kern w:val="0"/>
                <w:sz w:val="22"/>
                <w:szCs w:val="22"/>
                <w:lang w:val="es-ES" w:bidi="ar-SA"/>
              </w:rPr>
              <w:t>Categoría</w:t>
            </w:r>
            <w:r>
              <w:rPr>
                <w:rFonts w:eastAsia="Calibri" w:cs="Noto Sans Arabic UI"/>
                <w:kern w:val="0"/>
                <w:sz w:val="22"/>
                <w:szCs w:val="22"/>
                <w:lang w:val="es-ES" w:bidi="ar-SA"/>
              </w:rPr>
              <w:t>: Ambiental</w:t>
            </w:r>
          </w:p>
          <w:p>
            <w:pPr>
              <w:pStyle w:val="ListParagraph"/>
              <w:spacing w:before="115" w:after="120"/>
              <w:ind w:hanging="0" w:left="227"/>
              <w:rPr>
                <w:sz w:val="22"/>
                <w:szCs w:val="22"/>
              </w:rPr>
            </w:pPr>
            <w:r>
              <w:rPr>
                <w:rFonts w:eastAsia="Calibri" w:cs="Noto Sans Arabic UI"/>
                <w:b/>
                <w:bCs/>
                <w:kern w:val="0"/>
                <w:sz w:val="22"/>
                <w:szCs w:val="22"/>
                <w:lang w:val="es-ES" w:bidi="ar-SA"/>
              </w:rPr>
              <w:t>Descripción</w:t>
            </w:r>
            <w:r>
              <w:rPr>
                <w:rFonts w:eastAsia="Calibri" w:cs="Noto Sans Arabic UI"/>
                <w:kern w:val="0"/>
                <w:sz w:val="22"/>
                <w:szCs w:val="22"/>
                <w:lang w:val="es-ES" w:bidi="ar-SA"/>
              </w:rPr>
              <w:t xml:space="preserve">: </w:t>
            </w:r>
            <w:r>
              <w:rPr/>
              <w:t xml:space="preserve">Afección agrológica sobre 14.01 Ha de cultivos según </w:t>
            </w:r>
            <w:r>
              <w:rPr>
                <w:b/>
                <w:bCs/>
              </w:rPr>
              <w:t>Mapa Forestal de España</w:t>
            </w:r>
            <w:r>
              <w:rPr/>
              <w:t>. No supone exclusión ambiental ni legal, requiriendo acreditación de compatibilidad e integración agronómica.</w:t>
            </w:r>
          </w:p>
          <w:p>
            <w:pPr>
              <w:pStyle w:val="ListParagraph"/>
              <w:spacing w:before="115" w:after="120"/>
              <w:ind w:hanging="0" w:left="227"/>
              <w:rPr>
                <w:sz w:val="22"/>
                <w:szCs w:val="22"/>
              </w:rPr>
            </w:pPr>
            <w:r>
              <w:rPr>
                <w:rFonts w:eastAsia="Calibri" w:cs="Noto Sans Arabic UI"/>
                <w:b/>
                <w:bCs/>
                <w:kern w:val="0"/>
                <w:sz w:val="22"/>
                <w:szCs w:val="22"/>
                <w:lang w:val="es-ES" w:bidi="ar-SA"/>
              </w:rPr>
              <w:t>Evidencia</w:t>
            </w:r>
            <w:r>
              <w:rPr>
                <w:rFonts w:eastAsia="Calibri" w:cs="Noto Sans Arabic UI"/>
                <w:kern w:val="0"/>
                <w:sz w:val="22"/>
                <w:szCs w:val="22"/>
                <w:lang w:val="es-ES" w:bidi="ar-SA"/>
              </w:rPr>
              <w:t xml:space="preserve">: </w:t>
            </w:r>
            <w:r>
              <w:rPr/>
              <w:t xml:space="preserve">Capa GIS 93 | Cobertura </w:t>
            </w:r>
            <w:r>
              <w:rPr>
                <w:b/>
                <w:bCs/>
              </w:rPr>
              <w:t>96.16%</w:t>
            </w:r>
            <w:r>
              <w:rPr/>
              <w:t xml:space="preserve"> | NU_NORMAS SUELO RUSTICO.pdf | Página 369 | Art. 3.3.3</w:t>
            </w:r>
          </w:p>
          <w:p>
            <w:pPr>
              <w:pStyle w:val="ListParagraph"/>
              <w:spacing w:before="115" w:after="120"/>
              <w:ind w:hanging="0" w:left="227"/>
              <w:rPr>
                <w:sz w:val="22"/>
                <w:szCs w:val="22"/>
              </w:rPr>
            </w:pPr>
            <w:r>
              <w:rPr>
                <w:rFonts w:eastAsia="Calibri" w:cs="Noto Sans Arabic UI"/>
                <w:b/>
                <w:bCs/>
                <w:kern w:val="0"/>
                <w:sz w:val="22"/>
                <w:szCs w:val="22"/>
                <w:lang w:val="es-ES" w:bidi="ar-SA"/>
              </w:rPr>
              <w:t>Acción recomendada</w:t>
            </w:r>
            <w:r>
              <w:rPr>
                <w:rFonts w:eastAsia="Calibri" w:cs="Noto Sans Arabic UI"/>
                <w:kern w:val="0"/>
                <w:sz w:val="22"/>
                <w:szCs w:val="22"/>
                <w:lang w:val="es-ES" w:bidi="ar-SA"/>
              </w:rPr>
              <w:t>: Elaborar estudio de integración paisajística y medidas de preservación del suelo fértil en el Estudio de Impacto Ambiental.</w:t>
            </w:r>
          </w:p>
        </w:tc>
      </w:tr>
      <w:tr>
        <w:trPr>
          <w:cantSplit w:val="true"/>
        </w:trPr>
        <w:tc>
          <w:tcPr>
            <w:tcW w:w="9648" w:type="dxa"/>
            <w:tcBorders>
              <w:top w:val="nil"/>
            </w:tcBorders>
            <w:vAlign w:val="center"/>
          </w:tcPr>
          <w:p>
            <w:pPr>
              <w:pStyle w:val="ListParagraph"/>
              <w:spacing w:before="115" w:after="120"/>
              <w:ind w:hanging="0" w:left="227"/>
              <w:jc w:val="center"/>
              <w:rPr/>
            </w:pPr>
            <w:r>
              <w:rPr/>
              <w:drawing>
                <wp:inline distT="0" distB="0" distL="0" distR="0">
                  <wp:extent cx="827405" cy="266700"/>
                  <wp:effectExtent l="0" t="0" r="0" b="0"/>
                  <wp:docPr id="1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pic:cNvPicPr>
                            <a:picLocks noChangeAspect="1" noChangeArrowheads="1"/>
                          </pic:cNvPicPr>
                        </pic:nvPicPr>
                        <pic:blipFill>
                          <a:blip r:embed="rId11"/>
                          <a:stretch>
                            <a:fillRect/>
                          </a:stretch>
                        </pic:blipFill>
                        <pic:spPr bwMode="auto">
                          <a:xfrm>
                            <a:off x="0" y="0"/>
                            <a:ext cx="827405" cy="266700"/>
                          </a:xfrm>
                          <a:prstGeom prst="rect">
                            <a:avLst/>
                          </a:prstGeom>
                          <a:noFill/>
                        </pic:spPr>
                      </pic:pic>
                    </a:graphicData>
                  </a:graphic>
                </wp:inline>
              </w:drawing>
            </w:r>
          </w:p>
          <w:p>
            <w:pPr>
              <w:pStyle w:val="ListParagraph"/>
              <w:spacing w:before="115" w:after="120"/>
              <w:ind w:hanging="0" w:left="227"/>
              <w:rPr>
                <w:sz w:val="22"/>
                <w:szCs w:val="22"/>
              </w:rPr>
            </w:pPr>
            <w:r>
              <w:rPr>
                <w:rFonts w:eastAsia="Calibri" w:cs="Noto Sans Arabic UI"/>
                <w:b/>
                <w:bCs/>
                <w:kern w:val="0"/>
                <w:sz w:val="22"/>
                <w:szCs w:val="22"/>
                <w:lang w:val="es-ES" w:bidi="ar-SA"/>
              </w:rPr>
              <w:t>Afección</w:t>
            </w:r>
            <w:r>
              <w:rPr>
                <w:rFonts w:eastAsia="Calibri" w:cs="Noto Sans Arabic UI"/>
                <w:kern w:val="0"/>
                <w:sz w:val="22"/>
                <w:szCs w:val="22"/>
                <w:lang w:val="es-ES" w:bidi="ar-SA"/>
              </w:rPr>
              <w:t>: Proximidad estratégica a la Red de Transporte de Gas (0.53 km)</w:t>
            </w:r>
          </w:p>
          <w:p>
            <w:pPr>
              <w:pStyle w:val="ListParagraph"/>
              <w:spacing w:before="115" w:after="120"/>
              <w:ind w:hanging="0" w:left="227"/>
              <w:rPr>
                <w:sz w:val="22"/>
                <w:szCs w:val="22"/>
              </w:rPr>
            </w:pPr>
            <w:r>
              <w:rPr>
                <w:rFonts w:eastAsia="Calibri" w:cs="Noto Sans Arabic UI"/>
                <w:b/>
                <w:bCs/>
                <w:kern w:val="0"/>
                <w:sz w:val="22"/>
                <w:szCs w:val="22"/>
                <w:lang w:val="es-ES" w:bidi="ar-SA"/>
              </w:rPr>
              <w:t>Categoría</w:t>
            </w:r>
            <w:r>
              <w:rPr>
                <w:rFonts w:eastAsia="Calibri" w:cs="Noto Sans Arabic UI"/>
                <w:kern w:val="0"/>
                <w:sz w:val="22"/>
                <w:szCs w:val="22"/>
                <w:lang w:val="es-ES" w:bidi="ar-SA"/>
              </w:rPr>
              <w:t>: Infraestructura</w:t>
            </w:r>
          </w:p>
          <w:p>
            <w:pPr>
              <w:pStyle w:val="ListParagraph"/>
              <w:spacing w:before="115" w:after="120"/>
              <w:ind w:hanging="0" w:left="227"/>
              <w:rPr>
                <w:sz w:val="22"/>
                <w:szCs w:val="22"/>
              </w:rPr>
            </w:pPr>
            <w:r>
              <w:rPr>
                <w:rFonts w:eastAsia="Calibri" w:cs="Noto Sans Arabic UI"/>
                <w:b/>
                <w:bCs/>
                <w:kern w:val="0"/>
                <w:sz w:val="22"/>
                <w:szCs w:val="22"/>
                <w:lang w:val="es-ES" w:bidi="ar-SA"/>
              </w:rPr>
              <w:t>Descripción</w:t>
            </w:r>
            <w:r>
              <w:rPr>
                <w:rFonts w:eastAsia="Calibri" w:cs="Noto Sans Arabic UI"/>
                <w:kern w:val="0"/>
                <w:sz w:val="22"/>
                <w:szCs w:val="22"/>
                <w:lang w:val="es-ES" w:bidi="ar-SA"/>
              </w:rPr>
              <w:t xml:space="preserve">: </w:t>
            </w:r>
            <w:r>
              <w:rPr/>
              <w:t xml:space="preserve">El gasoducto tramo Santa Cruz de Mudela-Alcázar de San Juan se localiza a solo </w:t>
            </w:r>
            <w:r>
              <w:rPr>
                <w:b/>
                <w:bCs/>
              </w:rPr>
              <w:t>530 metros</w:t>
            </w:r>
            <w:r>
              <w:rPr/>
              <w:t xml:space="preserve"> de la parcela, reduciendo significativamente los costes de inversión en acometida y línea de inyección de biometano.</w:t>
            </w:r>
          </w:p>
          <w:p>
            <w:pPr>
              <w:pStyle w:val="ListParagraph"/>
              <w:spacing w:before="115" w:after="120"/>
              <w:ind w:hanging="0" w:left="227"/>
              <w:rPr>
                <w:sz w:val="22"/>
                <w:szCs w:val="22"/>
              </w:rPr>
            </w:pPr>
            <w:r>
              <w:rPr>
                <w:rFonts w:eastAsia="Calibri" w:cs="Noto Sans Arabic UI"/>
                <w:b/>
                <w:bCs/>
                <w:kern w:val="0"/>
                <w:sz w:val="22"/>
                <w:szCs w:val="22"/>
                <w:lang w:val="es-ES" w:bidi="ar-SA"/>
              </w:rPr>
              <w:t>Evidencia</w:t>
            </w:r>
            <w:r>
              <w:rPr>
                <w:rFonts w:eastAsia="Calibri" w:cs="Noto Sans Arabic UI"/>
                <w:kern w:val="0"/>
                <w:sz w:val="22"/>
                <w:szCs w:val="22"/>
                <w:lang w:val="es-ES" w:bidi="ar-SA"/>
              </w:rPr>
              <w:t xml:space="preserve">: </w:t>
            </w:r>
            <w:r>
              <w:rPr/>
              <w:t xml:space="preserve">Datos GIS de ejecución | Distancia a gasoducto: </w:t>
            </w:r>
            <w:r>
              <w:rPr>
                <w:b/>
                <w:bCs/>
              </w:rPr>
              <w:t>0.53 km</w:t>
            </w:r>
            <w:r>
              <w:rPr/>
              <w:t xml:space="preserve"> | Tramo Sta Cruz de Mudela-Alcázar</w:t>
            </w:r>
          </w:p>
          <w:p>
            <w:pPr>
              <w:pStyle w:val="ListParagraph"/>
              <w:spacing w:before="115" w:after="120"/>
              <w:ind w:hanging="0" w:left="227"/>
              <w:rPr>
                <w:sz w:val="22"/>
                <w:szCs w:val="22"/>
              </w:rPr>
            </w:pPr>
            <w:r>
              <w:rPr>
                <w:rFonts w:eastAsia="Calibri" w:cs="Noto Sans Arabic UI"/>
                <w:b/>
                <w:bCs/>
                <w:kern w:val="0"/>
                <w:sz w:val="22"/>
                <w:szCs w:val="22"/>
                <w:lang w:val="es-ES" w:bidi="ar-SA"/>
              </w:rPr>
              <w:t>Acción recomendada</w:t>
            </w:r>
            <w:r>
              <w:rPr>
                <w:rFonts w:eastAsia="Calibri" w:cs="Noto Sans Arabic UI"/>
                <w:kern w:val="0"/>
                <w:sz w:val="22"/>
                <w:szCs w:val="22"/>
                <w:lang w:val="es-ES" w:bidi="ar-SA"/>
              </w:rPr>
              <w:t>: Solicitar a Enagás / operador de red el punto de conexión e informe de capacidad de inyección.</w:t>
            </w:r>
          </w:p>
        </w:tc>
      </w:tr>
      <w:tr>
        <w:trPr>
          <w:cantSplit w:val="true"/>
        </w:trPr>
        <w:tc>
          <w:tcPr>
            <w:tcW w:w="9648" w:type="dxa"/>
            <w:tcBorders>
              <w:top w:val="nil"/>
            </w:tcBorders>
            <w:vAlign w:val="center"/>
          </w:tcPr>
          <w:p>
            <w:pPr>
              <w:pStyle w:val="ListParagraph"/>
              <w:spacing w:before="115" w:after="120"/>
              <w:ind w:hanging="0" w:left="227"/>
              <w:jc w:val="center"/>
              <w:rPr/>
            </w:pPr>
            <w:r>
              <w:rPr/>
              <w:drawing>
                <wp:inline distT="0" distB="0" distL="0" distR="0">
                  <wp:extent cx="827405" cy="266700"/>
                  <wp:effectExtent l="0" t="0" r="0" b="0"/>
                  <wp:docPr id="1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pic:cNvPicPr>
                            <a:picLocks noChangeAspect="1" noChangeArrowheads="1"/>
                          </pic:cNvPicPr>
                        </pic:nvPicPr>
                        <pic:blipFill>
                          <a:blip r:embed="rId12"/>
                          <a:stretch>
                            <a:fillRect/>
                          </a:stretch>
                        </pic:blipFill>
                        <pic:spPr bwMode="auto">
                          <a:xfrm>
                            <a:off x="0" y="0"/>
                            <a:ext cx="827405" cy="266700"/>
                          </a:xfrm>
                          <a:prstGeom prst="rect">
                            <a:avLst/>
                          </a:prstGeom>
                          <a:noFill/>
                        </pic:spPr>
                      </pic:pic>
                    </a:graphicData>
                  </a:graphic>
                </wp:inline>
              </w:drawing>
            </w:r>
          </w:p>
          <w:p>
            <w:pPr>
              <w:pStyle w:val="ListParagraph"/>
              <w:spacing w:before="115" w:after="120"/>
              <w:ind w:hanging="0" w:left="227"/>
              <w:rPr>
                <w:sz w:val="22"/>
                <w:szCs w:val="22"/>
              </w:rPr>
            </w:pPr>
            <w:r>
              <w:rPr>
                <w:rFonts w:eastAsia="Calibri" w:cs="Noto Sans Arabic UI"/>
                <w:b/>
                <w:bCs/>
                <w:kern w:val="0"/>
                <w:sz w:val="22"/>
                <w:szCs w:val="22"/>
                <w:lang w:val="es-ES" w:bidi="ar-SA"/>
              </w:rPr>
              <w:t>Afección</w:t>
            </w:r>
            <w:r>
              <w:rPr>
                <w:rFonts w:eastAsia="Calibri" w:cs="Noto Sans Arabic UI"/>
                <w:kern w:val="0"/>
                <w:sz w:val="22"/>
                <w:szCs w:val="22"/>
                <w:lang w:val="es-ES" w:bidi="ar-SA"/>
              </w:rPr>
              <w:t>: Orientación de Vientos y Dispersión de Olores Favorable</w:t>
            </w:r>
          </w:p>
          <w:p>
            <w:pPr>
              <w:pStyle w:val="ListParagraph"/>
              <w:spacing w:before="115" w:after="120"/>
              <w:ind w:hanging="0" w:left="227"/>
              <w:rPr>
                <w:sz w:val="22"/>
                <w:szCs w:val="22"/>
              </w:rPr>
            </w:pPr>
            <w:r>
              <w:rPr>
                <w:rFonts w:eastAsia="Calibri" w:cs="Noto Sans Arabic UI"/>
                <w:b/>
                <w:bCs/>
                <w:kern w:val="0"/>
                <w:sz w:val="22"/>
                <w:szCs w:val="22"/>
                <w:lang w:val="es-ES" w:bidi="ar-SA"/>
              </w:rPr>
              <w:t>Categoría</w:t>
            </w:r>
            <w:r>
              <w:rPr>
                <w:rFonts w:eastAsia="Calibri" w:cs="Noto Sans Arabic UI"/>
                <w:kern w:val="0"/>
                <w:sz w:val="22"/>
                <w:szCs w:val="22"/>
                <w:lang w:val="es-ES" w:bidi="ar-SA"/>
              </w:rPr>
              <w:t>: Olores</w:t>
            </w:r>
          </w:p>
          <w:p>
            <w:pPr>
              <w:pStyle w:val="ListParagraph"/>
              <w:spacing w:before="115" w:after="120"/>
              <w:ind w:hanging="0" w:left="227"/>
              <w:rPr>
                <w:sz w:val="22"/>
                <w:szCs w:val="22"/>
              </w:rPr>
            </w:pPr>
            <w:r>
              <w:rPr>
                <w:rFonts w:eastAsia="Calibri" w:cs="Noto Sans Arabic UI"/>
                <w:b/>
                <w:bCs/>
                <w:kern w:val="0"/>
                <w:sz w:val="22"/>
                <w:szCs w:val="22"/>
                <w:lang w:val="es-ES" w:bidi="ar-SA"/>
              </w:rPr>
              <w:t>Descripción</w:t>
            </w:r>
            <w:r>
              <w:rPr>
                <w:rFonts w:eastAsia="Calibri" w:cs="Noto Sans Arabic UI"/>
                <w:kern w:val="0"/>
                <w:sz w:val="22"/>
                <w:szCs w:val="22"/>
                <w:lang w:val="es-ES" w:bidi="ar-SA"/>
              </w:rPr>
              <w:t xml:space="preserve">: </w:t>
            </w:r>
            <w:r>
              <w:rPr/>
              <w:t>El eje de vientos dominantes WSW (</w:t>
            </w:r>
            <w:r>
              <w:rPr>
                <w:b/>
                <w:bCs/>
              </w:rPr>
              <w:t>14.2%</w:t>
            </w:r>
            <w:r>
              <w:rPr/>
              <w:t>) y SW (</w:t>
            </w:r>
            <w:r>
              <w:rPr>
                <w:b/>
                <w:bCs/>
              </w:rPr>
              <w:t>12.8%</w:t>
            </w:r>
            <w:r>
              <w:rPr/>
              <w:t xml:space="preserve">) dispersa hacia el ENE y NE sobre terrenos rústicos abiertos sin intersectar núcleos urbanos en un radio de </w:t>
            </w:r>
            <w:r>
              <w:rPr>
                <w:b/>
                <w:bCs/>
              </w:rPr>
              <w:t>3 km</w:t>
            </w:r>
            <w:r>
              <w:rPr/>
              <w:t xml:space="preserve">. El núcleo de población más cercano se sitúa a </w:t>
            </w:r>
            <w:r>
              <w:rPr>
                <w:b/>
                <w:bCs/>
              </w:rPr>
              <w:t>2.53 km</w:t>
            </w:r>
            <w:r>
              <w:rPr/>
              <w:t>.</w:t>
            </w:r>
          </w:p>
          <w:p>
            <w:pPr>
              <w:pStyle w:val="ListParagraph"/>
              <w:spacing w:before="115" w:after="120"/>
              <w:ind w:hanging="0" w:left="227"/>
              <w:rPr>
                <w:sz w:val="22"/>
                <w:szCs w:val="22"/>
              </w:rPr>
            </w:pPr>
            <w:r>
              <w:rPr>
                <w:rFonts w:eastAsia="Calibri" w:cs="Noto Sans Arabic UI"/>
                <w:b/>
                <w:bCs/>
                <w:kern w:val="0"/>
                <w:sz w:val="22"/>
                <w:szCs w:val="22"/>
                <w:lang w:val="es-ES" w:bidi="ar-SA"/>
              </w:rPr>
              <w:t>Evidencia</w:t>
            </w:r>
            <w:r>
              <w:rPr>
                <w:rFonts w:eastAsia="Calibri" w:cs="Noto Sans Arabic UI"/>
                <w:kern w:val="0"/>
                <w:sz w:val="22"/>
                <w:szCs w:val="22"/>
                <w:lang w:val="es-ES" w:bidi="ar-SA"/>
              </w:rPr>
              <w:t xml:space="preserve">: </w:t>
            </w:r>
            <w:r>
              <w:rPr/>
              <w:t xml:space="preserve">Meteoblue wind rose climate model | Dirección predominante WSW / SW | Distancia núcleo: </w:t>
            </w:r>
            <w:r>
              <w:rPr>
                <w:b/>
                <w:bCs/>
              </w:rPr>
              <w:t>2.53 km</w:t>
            </w:r>
          </w:p>
          <w:p>
            <w:pPr>
              <w:pStyle w:val="ListParagraph"/>
              <w:spacing w:before="115" w:after="120"/>
              <w:ind w:hanging="0" w:left="227"/>
              <w:rPr>
                <w:sz w:val="22"/>
                <w:szCs w:val="22"/>
              </w:rPr>
            </w:pPr>
            <w:r>
              <w:rPr>
                <w:rFonts w:eastAsia="Calibri" w:cs="Noto Sans Arabic UI"/>
                <w:b/>
                <w:bCs/>
                <w:kern w:val="0"/>
                <w:sz w:val="22"/>
                <w:szCs w:val="22"/>
                <w:lang w:val="es-ES" w:bidi="ar-SA"/>
              </w:rPr>
              <w:t>Acción recomendada</w:t>
            </w:r>
            <w:r>
              <w:rPr>
                <w:rFonts w:eastAsia="Calibri" w:cs="Noto Sans Arabic UI"/>
                <w:kern w:val="0"/>
                <w:sz w:val="22"/>
                <w:szCs w:val="22"/>
                <w:lang w:val="es-ES" w:bidi="ar-SA"/>
              </w:rPr>
              <w:t>: Incorporar sistemas de desodorización y cerramiento estanco de naves de recepción de residuos para el trámite de AAI.</w:t>
            </w:r>
          </w:p>
        </w:tc>
      </w:tr>
    </w:tbl>
    <w:p>
      <w:pPr>
        <w:pStyle w:val="Heading2"/>
        <w:spacing w:before="480" w:after="240"/>
        <w:ind w:hanging="578" w:left="578"/>
        <w:contextualSpacing/>
        <w:rPr/>
      </w:pPr>
      <w:bookmarkStart w:id="35" w:name="__RefHeading___Toc1311_3003605631"/>
      <w:bookmarkStart w:id="36" w:name="_Toc232044920"/>
      <w:bookmarkStart w:id="37" w:name="_Toc232044949"/>
      <w:bookmarkStart w:id="38" w:name="_Toc232058874"/>
      <w:bookmarkEnd w:id="35"/>
      <w:r>
        <w:rPr/>
        <w:t>Conclusión de viabilidad</w:t>
      </w:r>
      <w:bookmarkEnd w:id="36"/>
      <w:bookmarkEnd w:id="37"/>
      <w:bookmarkEnd w:id="38"/>
    </w:p>
    <w:p>
      <w:pPr>
        <w:pStyle w:val="ListParagraph"/>
        <w:rPr/>
      </w:pPr>
      <w:r>
        <w:rPr/>
        <w:t xml:space="preserve">La implantación de la planta de biometano es VIABLE CONDICIONADA. La parcela cuenta con 14.57 Ha brutas y una Superficie Neta Resultante de 14.57 Ha (sin afecciones de exclusión directa como dominio público hidráulico o vías pecuarias que reduzcan la superficie). Existe cobertura jurídica expresa en el planeamiento municipal mediante la Modificación Puntual del PGOU (art. 3.3.4.1.7.a) para actividades energéticas renovables en Zona 9.8, con posibilidad de excepción de alturas por requerimientos técnicos. La conexión a red de gas a </w:t>
      </w:r>
      <w:r>
        <w:rPr>
          <w:b/>
          <w:bCs/>
        </w:rPr>
        <w:t>530 m</w:t>
      </w:r>
      <w:r>
        <w:rPr/>
        <w:t xml:space="preserve"> supone una ventaja técnica determinante. Se requiere tramitar Calificación Urbanística autonómica y AAI con medidas estándar de integración y control de emisiones.</w:t>
      </w:r>
    </w:p>
    <w:p>
      <w:pPr>
        <w:pStyle w:val="ListParagraph"/>
        <w:rPr/>
      </w:pPr>
      <w:r>
        <w:rPr/>
      </w:r>
      <w:r>
        <w:br w:type="page"/>
      </w:r>
    </w:p>
    <w:p>
      <w:pPr>
        <w:pStyle w:val="Heading1"/>
        <w:spacing w:before="0" w:after="360"/>
        <w:ind w:hanging="567" w:left="567"/>
        <w:rPr/>
      </w:pPr>
      <w:bookmarkStart w:id="39" w:name="__RefHeading___Toc1313_3003605631"/>
      <w:bookmarkStart w:id="40" w:name="_Toc232044921"/>
      <w:bookmarkStart w:id="41" w:name="_Toc232058875"/>
      <w:bookmarkStart w:id="42" w:name="_Toc232044950"/>
      <w:bookmarkEnd w:id="39"/>
      <w:r>
        <w:rPr/>
        <w:t>Urbanismo y normativa autonómica</w:t>
      </w:r>
      <w:bookmarkEnd w:id="40"/>
      <w:bookmarkEnd w:id="41"/>
      <w:bookmarkEnd w:id="42"/>
    </w:p>
    <w:p>
      <w:pPr>
        <w:pStyle w:val="Heading2"/>
        <w:ind w:hanging="578" w:left="578"/>
        <w:rPr/>
      </w:pPr>
      <w:bookmarkStart w:id="43" w:name="__RefHeading___Toc1315_3003605631"/>
      <w:bookmarkStart w:id="44" w:name="_Toc232058876"/>
      <w:bookmarkStart w:id="45" w:name="_Toc232044951"/>
      <w:bookmarkStart w:id="46" w:name="_Toc232044922"/>
      <w:bookmarkEnd w:id="43"/>
      <w:r>
        <w:rPr/>
        <w:t>Planeamiento aplicable</w:t>
      </w:r>
      <w:bookmarkEnd w:id="44"/>
      <w:bookmarkEnd w:id="45"/>
      <w:bookmarkEnd w:id="46"/>
    </w:p>
    <w:p>
      <w:pPr>
        <w:pStyle w:val="ListParagraph"/>
        <w:numPr>
          <w:ilvl w:val="0"/>
          <w:numId w:val="4"/>
        </w:numPr>
        <w:rPr/>
      </w:pPr>
      <w:r>
        <w:rPr>
          <w:b/>
          <w:bCs/>
        </w:rPr>
        <w:t>Instrumento de planeamiento vigente</w:t>
      </w:r>
    </w:p>
    <w:p>
      <w:pPr>
        <w:pStyle w:val="ListParagraph"/>
        <w:rPr/>
      </w:pPr>
      <w:r>
        <w:rPr/>
        <w:t>Plan General de Ordenación Urbana (PGOU) de Alcázar de San Juan con Modificación Puntual de Suelo Rústico.</w:t>
      </w:r>
    </w:p>
    <w:p>
      <w:pPr>
        <w:pStyle w:val="ListParagraph"/>
        <w:numPr>
          <w:ilvl w:val="0"/>
          <w:numId w:val="5"/>
        </w:numPr>
        <w:rPr/>
      </w:pPr>
      <w:r>
        <w:rPr>
          <w:b/>
          <w:bCs/>
        </w:rPr>
        <w:t>Fecha de aprobación definitiva</w:t>
      </w:r>
    </w:p>
    <w:p>
      <w:pPr>
        <w:pStyle w:val="ListParagraph"/>
        <w:rPr/>
      </w:pPr>
      <w:r>
        <w:rPr/>
        <w:t>12 de marzo de 1992 (PGOU General) / Modificación Puntual de Suelo Rústico tramitada en 2010.</w:t>
      </w:r>
    </w:p>
    <w:p>
      <w:pPr>
        <w:pStyle w:val="ListParagraph"/>
        <w:numPr>
          <w:ilvl w:val="0"/>
          <w:numId w:val="6"/>
        </w:numPr>
        <w:rPr/>
      </w:pPr>
      <w:r>
        <w:rPr>
          <w:b/>
          <w:bCs/>
        </w:rPr>
        <w:t>Publicación</w:t>
      </w:r>
    </w:p>
    <w:p>
      <w:pPr>
        <w:pStyle w:val="ListParagraph"/>
        <w:rPr/>
      </w:pPr>
      <w:r>
        <w:rPr/>
        <w:t>DOCM núm. 41 de 3 de junio de 1992 (Aprobación definitiva PGOU).</w:t>
      </w:r>
    </w:p>
    <w:p>
      <w:pPr>
        <w:pStyle w:val="ListParagraph"/>
        <w:numPr>
          <w:ilvl w:val="0"/>
          <w:numId w:val="6"/>
        </w:numPr>
        <w:rPr/>
      </w:pPr>
      <w:r>
        <w:rPr>
          <w:b/>
          <w:bCs/>
        </w:rPr>
        <w:t>Planeamiento en tramitacion u otras observaciones</w:t>
      </w:r>
    </w:p>
    <w:p>
      <w:pPr>
        <w:pStyle w:val="ListParagraph"/>
        <w:rPr/>
      </w:pPr>
      <w:r>
        <w:rPr/>
        <w:t>El municipio cuenta con la Modificación Puntual de determinaciones de ordenación detallada en suelo rústico (Marzo 2010), redactada específicamente para incorporar las instalaciones de producción de energía renovable en las zonas de suelo no urbanizable de especial protección (Zonas 9.1 a 9.9) adecuándose a la LOTAU.</w:t>
      </w:r>
    </w:p>
    <w:p>
      <w:pPr>
        <w:pStyle w:val="Heading2"/>
        <w:ind w:hanging="578" w:left="578"/>
        <w:rPr/>
      </w:pPr>
      <w:bookmarkStart w:id="47" w:name="__RefHeading___Toc1317_3003605631"/>
      <w:bookmarkStart w:id="48" w:name="_Toc232044923"/>
      <w:bookmarkStart w:id="49" w:name="_Toc232044952"/>
      <w:bookmarkStart w:id="50" w:name="_Toc232058877"/>
      <w:bookmarkEnd w:id="47"/>
      <w:r>
        <w:rPr/>
        <w:t>Lectura urbanísica y tramitación</w:t>
      </w:r>
      <w:bookmarkEnd w:id="48"/>
      <w:bookmarkEnd w:id="49"/>
      <w:bookmarkEnd w:id="50"/>
    </w:p>
    <w:p>
      <w:pPr>
        <w:pStyle w:val="ListParagraph"/>
        <w:numPr>
          <w:ilvl w:val="0"/>
          <w:numId w:val="7"/>
        </w:numPr>
        <w:rPr>
          <w:b/>
          <w:bCs/>
        </w:rPr>
      </w:pPr>
      <w:r>
        <w:rPr>
          <w:b/>
          <w:bCs/>
        </w:rPr>
        <w:t>Lectura urbanísitica</w:t>
      </w:r>
    </w:p>
    <w:p>
      <w:pPr>
        <w:pStyle w:val="ListParagraph"/>
        <w:rPr/>
      </w:pPr>
      <w:r>
        <w:rPr/>
        <w:t>La finca se clasifica como Suelo Rústico No Urbanizable de Especial Protección (Zona 9.8 Regadíos Pedregosos). Aunque es suelo protegido, la Modificación Puntual del PGOU de 2010 habilita expresamente en el art. 3.3.4.1.7.a instalaciones para la producción de energía renovable (biomasa y análogas) y permite flexibilizar alturas según necesidad técnica.</w:t>
      </w:r>
    </w:p>
    <w:p>
      <w:pPr>
        <w:pStyle w:val="ListParagraph"/>
        <w:numPr>
          <w:ilvl w:val="0"/>
          <w:numId w:val="7"/>
        </w:numPr>
        <w:rPr>
          <w:b/>
          <w:bCs/>
        </w:rPr>
      </w:pPr>
      <w:r>
        <w:rPr>
          <w:b/>
          <w:bCs/>
        </w:rPr>
        <w:t>Lectura de tramitación</w:t>
      </w:r>
    </w:p>
    <w:p>
      <w:pPr>
        <w:pStyle w:val="ListParagraph"/>
        <w:rPr/>
      </w:pPr>
      <w:r>
        <w:rPr/>
        <w:t>Al tratarse de Suelo Rústico No Urbanizable de Especial Protección, el art. 64.4 del TRLOTAU exige tramitar Calificación Urbanística previa ante la Comisión Provincial de Ordenación del Territorio y Urbanismo de Ciudad Real con Evaluación de Impacto Ambiental / AAI, requiriendo un periodo estimado de tramitación de 12 a 18 meses.</w:t>
      </w:r>
    </w:p>
    <w:p>
      <w:pPr>
        <w:pStyle w:val="Heading2"/>
        <w:ind w:hanging="578" w:left="578"/>
        <w:rPr/>
      </w:pPr>
      <w:bookmarkStart w:id="51" w:name="__RefHeading___Toc1319_3003605631"/>
      <w:bookmarkStart w:id="52" w:name="_Toc232044953"/>
      <w:bookmarkStart w:id="53" w:name="_Toc232058878"/>
      <w:bookmarkStart w:id="54" w:name="_Toc232044924"/>
      <w:bookmarkEnd w:id="51"/>
      <w:r>
        <w:rPr/>
        <w:t>Normativa autonómica y contexto complementario</w:t>
      </w:r>
      <w:bookmarkEnd w:id="52"/>
      <w:bookmarkEnd w:id="53"/>
      <w:bookmarkEnd w:id="54"/>
      <w:r>
        <w:rPr/>
        <w:t xml:space="preserve"> </w:t>
      </w:r>
    </w:p>
    <w:p>
      <w:pPr>
        <w:pStyle w:val="BodyText"/>
        <w:ind w:hanging="0" w:left="0"/>
        <w:jc w:val="both"/>
        <w:rPr/>
      </w:pPr>
      <w:r>
        <w:rPr/>
        <w:t>La parcela se sitúa en un ámbito clasificado como SNU Especial Protección según el Reglamento de SR de Castilla-La Mancha.</w:t>
      </w:r>
    </w:p>
    <w:p>
      <w:pPr>
        <w:pStyle w:val="BodyText"/>
        <w:ind w:hanging="0" w:left="0"/>
        <w:jc w:val="both"/>
        <w:rPr/>
      </w:pPr>
      <w:r>
        <w:rPr/>
        <w:t>El suelo rústico de especial protección regulado por el Reglamento de Suelo Rústico de Castilla-La Mancha está sujeto a un régimen específico de usos condicionado por los valores que justifican su protección. La implantación de proyectos de biometano en estas zonas puede requerir una revisión reforzada de compatibilidad y quedar condicionada por el planeamiento y la normativa sectorial aplicable.</w:t>
      </w:r>
    </w:p>
    <w:p>
      <w:pPr>
        <w:pStyle w:val="BodyText"/>
        <w:rPr/>
      </w:pPr>
      <w:r>
        <w:rPr/>
      </w:r>
      <w:r>
        <w:br w:type="page"/>
      </w:r>
    </w:p>
    <w:p>
      <w:pPr>
        <w:pStyle w:val="Heading1"/>
        <w:spacing w:before="0" w:after="360"/>
        <w:ind w:hanging="567" w:left="567"/>
        <w:rPr>
          <w:rFonts w:eastAsia="Cambria"/>
        </w:rPr>
      </w:pPr>
      <w:bookmarkStart w:id="55" w:name="__RefHeading___Toc1321_3003605631"/>
      <w:bookmarkStart w:id="56" w:name="_Toc232044954"/>
      <w:bookmarkStart w:id="57" w:name="_Toc232058879"/>
      <w:bookmarkStart w:id="58" w:name="_Toc232044925"/>
      <w:bookmarkStart w:id="59" w:name="_Toc183517963"/>
      <w:bookmarkEnd w:id="55"/>
      <w:r>
        <w:rPr/>
        <w:t>C</w:t>
      </w:r>
      <w:bookmarkEnd w:id="59"/>
      <w:r>
        <w:rPr/>
        <w:t>ondicionantes territoriales, ambientales y técnicos</w:t>
      </w:r>
      <w:bookmarkEnd w:id="56"/>
      <w:bookmarkEnd w:id="57"/>
      <w:bookmarkEnd w:id="58"/>
    </w:p>
    <w:p>
      <w:pPr>
        <w:pStyle w:val="ListParagraph"/>
        <w:rPr/>
      </w:pPr>
      <w:r>
        <w:rPr/>
        <w:t>En el presente apartado, se procede a estudiar si la ubicación propuesta cumple con la legislación y normativa territorial y urbanística aplicable para la implantación de un proyecto de biometano.</w:t>
      </w:r>
    </w:p>
    <w:p>
      <w:pPr>
        <w:pStyle w:val="Heading2"/>
        <w:ind w:hanging="578" w:left="578"/>
        <w:rPr/>
      </w:pPr>
      <w:bookmarkStart w:id="60" w:name="__RefHeading___Toc1323_3003605631"/>
      <w:bookmarkStart w:id="61" w:name="_Toc232044955"/>
      <w:bookmarkStart w:id="62" w:name="_Toc232044926"/>
      <w:bookmarkStart w:id="63" w:name="_Toc183517964"/>
      <w:bookmarkStart w:id="64" w:name="_Toc232058880"/>
      <w:bookmarkEnd w:id="60"/>
      <w:r>
        <w:rPr/>
        <w:t>Cuadro resumen</w:t>
      </w:r>
      <w:bookmarkEnd w:id="61"/>
      <w:bookmarkEnd w:id="62"/>
      <w:bookmarkEnd w:id="63"/>
      <w:bookmarkEnd w:id="64"/>
    </w:p>
    <w:p>
      <w:pPr>
        <w:pStyle w:val="ListParagraph"/>
        <w:spacing w:before="101" w:after="187"/>
        <w:rPr/>
      </w:pPr>
      <w:r>
        <w:rPr/>
        <w:t>A continuación, se presenta un cuadro resumen de los condicionantes territoriales, ambientales y técnicos evaluados para el emplazamiento de la planta de biometano. En él se sintetizan las principales afecciones detectadas, su nivel de restricción y la superficie afectada cuando resulta de aplicación.</w:t>
      </w:r>
    </w:p>
    <w:tbl>
      <w:tblPr>
        <w:tblW w:w="961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548"/>
        <w:gridCol w:w="2133"/>
        <w:gridCol w:w="2544"/>
        <w:gridCol w:w="1963"/>
        <w:gridCol w:w="1428"/>
      </w:tblGrid>
      <w:tr>
        <w:trPr>
          <w:trHeight w:val="502" w:hRule="atLeast"/>
        </w:trPr>
        <w:tc>
          <w:tcPr>
            <w:tcW w:w="1548"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color w:themeColor="dark1" w:val="000000"/>
              </w:rPr>
            </w:pPr>
            <w:r>
              <w:rPr>
                <w:b/>
                <w:color w:themeColor="dark1" w:val="000000"/>
              </w:rPr>
              <w:t xml:space="preserve"> </w:t>
            </w:r>
            <w:r>
              <w:rPr>
                <w:b/>
                <w:color w:themeColor="dark1" w:val="000000"/>
              </w:rPr>
              <w:t>CLASE</w:t>
            </w:r>
          </w:p>
        </w:tc>
        <w:tc>
          <w:tcPr>
            <w:tcW w:w="2133"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color w:themeColor="dark1" w:val="000000"/>
              </w:rPr>
            </w:pPr>
            <w:r>
              <w:rPr>
                <w:b/>
                <w:color w:themeColor="dark1" w:val="000000"/>
              </w:rPr>
              <w:t>CATEGORÍA</w:t>
            </w:r>
          </w:p>
        </w:tc>
        <w:tc>
          <w:tcPr>
            <w:tcW w:w="2544"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color w:themeColor="dark1" w:val="000000"/>
              </w:rPr>
            </w:pPr>
            <w:r>
              <w:rPr>
                <w:b/>
                <w:color w:themeColor="dark1" w:val="000000"/>
              </w:rPr>
              <w:t>DESCRIPCIÓN</w:t>
            </w:r>
          </w:p>
        </w:tc>
        <w:tc>
          <w:tcPr>
            <w:tcW w:w="1963"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color w:themeColor="dark1" w:val="000000"/>
              </w:rPr>
            </w:pPr>
            <w:r>
              <w:rPr>
                <w:b/>
                <w:color w:themeColor="dark1" w:val="000000"/>
              </w:rPr>
              <w:t>RESTRICCIONES</w:t>
            </w:r>
          </w:p>
        </w:tc>
        <w:tc>
          <w:tcPr>
            <w:tcW w:w="1428" w:type="dxa"/>
            <w:tcBorders>
              <w:top w:val="single" w:sz="6" w:space="0" w:color="BFBFBF"/>
              <w:left w:val="single" w:sz="6" w:space="0" w:color="BFBFBF"/>
              <w:bottom w:val="single" w:sz="6" w:space="0" w:color="BFBFBF"/>
              <w:right w:val="single" w:sz="6" w:space="0" w:color="BFBFBF"/>
            </w:tcBorders>
            <w:shd w:color="auto" w:fill="DDEFDD" w:val="clear"/>
            <w:vAlign w:val="center"/>
          </w:tcPr>
          <w:p>
            <w:pPr>
              <w:pStyle w:val="tabla"/>
              <w:spacing w:before="120" w:after="120"/>
              <w:rPr>
                <w:color w:themeColor="dark1" w:val="000000"/>
              </w:rPr>
            </w:pPr>
            <w:r>
              <w:rPr>
                <w:b/>
                <w:bCs/>
                <w:color w:themeColor="dark1" w:val="000000"/>
              </w:rPr>
              <w:t>ÁREA (HA)</w:t>
            </w:r>
          </w:p>
        </w:tc>
      </w:tr>
      <w:tr>
        <w:trPr>
          <w:cantSplit w:val="true"/>
        </w:trPr>
        <w:tc>
          <w:tcPr>
            <w:tcW w:w="1548" w:type="dxa"/>
            <w:tcBorders>
              <w:top w:val="single" w:sz="6" w:space="0" w:color="BFBFBF"/>
              <w:left w:val="single" w:sz="6" w:space="0" w:color="BFBFBF"/>
              <w:bottom w:val="single" w:sz="6" w:space="0" w:color="BFBFBF"/>
              <w:right w:val="single" w:sz="6" w:space="0" w:color="BFBFBF"/>
            </w:tcBorders>
            <w:shd w:color="auto" w:fill="DEE6EF" w:val="clear"/>
            <w:vAlign w:val="center"/>
          </w:tcPr>
          <w:p>
            <w:pPr>
              <w:pStyle w:val="tabla"/>
              <w:spacing w:lineRule="auto" w:line="240" w:before="120" w:after="120"/>
              <w:ind w:hanging="0"/>
              <w:jc w:val="center"/>
              <w:rPr/>
            </w:pPr>
            <w:r>
              <w:rPr>
                <w:b/>
                <w:bCs/>
              </w:rPr>
              <w:t>Normativas</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Normativa autonómica de ordenación del suelo</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SNU Especial Protección según el Reglamento de SR de Castilla-La Mancha</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drawing>
                <wp:inline distT="0" distB="0" distL="0" distR="0">
                  <wp:extent cx="1042035" cy="333375"/>
                  <wp:effectExtent l="0" t="0" r="0" b="0"/>
                  <wp:docPr id="1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pic:cNvPicPr>
                            <a:picLocks noChangeAspect="1" noChangeArrowheads="1"/>
                          </pic:cNvPicPr>
                        </pic:nvPicPr>
                        <pic:blipFill>
                          <a:blip r:embed="rId13"/>
                          <a:stretch>
                            <a:fillRect/>
                          </a:stretch>
                        </pic:blipFill>
                        <pic:spPr bwMode="auto">
                          <a:xfrm>
                            <a:off x="0" y="0"/>
                            <a:ext cx="1042035" cy="333375"/>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NA</w:t>
            </w:r>
          </w:p>
        </w:tc>
      </w:tr>
      <w:tr>
        <w:trPr/>
        <w:tc>
          <w:tcPr>
            <w:tcW w:w="1548" w:type="dxa"/>
            <w:vMerge w:val="restart"/>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lineRule="auto" w:line="240" w:before="120" w:after="120"/>
              <w:ind w:hanging="0"/>
              <w:jc w:val="center"/>
              <w:rPr/>
            </w:pPr>
            <w:r>
              <w:rPr>
                <w:b/>
                <w:bCs/>
              </w:rPr>
              <w:t>Distancias a construcciones artificiales</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Proximidad a núcleos de población (m)</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2533</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012825" cy="228600"/>
                  <wp:effectExtent l="0" t="0" r="0" b="0"/>
                  <wp:docPr id="15"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pic:cNvPicPr>
                            <a:picLocks noChangeAspect="1" noChangeArrowheads="1"/>
                          </pic:cNvPicPr>
                        </pic:nvPicPr>
                        <pic:blipFill>
                          <a:blip r:embed="rId14"/>
                          <a:stretch>
                            <a:fillRect/>
                          </a:stretch>
                        </pic:blipFill>
                        <pic:spPr bwMode="auto">
                          <a:xfrm>
                            <a:off x="0" y="0"/>
                            <a:ext cx="10128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NA</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pPr>
            <w:r>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Proxim. a viviendas y construcciones alisladas (m)</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20919</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012825" cy="228600"/>
                  <wp:effectExtent l="0" t="0" r="0" b="0"/>
                  <wp:docPr id="16"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pic:cNvPicPr>
                            <a:picLocks noChangeAspect="1" noChangeArrowheads="1"/>
                          </pic:cNvPicPr>
                        </pic:nvPicPr>
                        <pic:blipFill>
                          <a:blip r:embed="rId15"/>
                          <a:stretch>
                            <a:fillRect/>
                          </a:stretch>
                        </pic:blipFill>
                        <pic:spPr bwMode="auto">
                          <a:xfrm>
                            <a:off x="0" y="0"/>
                            <a:ext cx="10128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NA</w:t>
            </w:r>
          </w:p>
        </w:tc>
      </w:tr>
      <w:tr>
        <w:trPr>
          <w:cantSplit w:val="true"/>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pPr>
            <w:r>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color w:val="000000"/>
              </w:rPr>
            </w:pPr>
            <w:r>
              <w:rPr>
                <w:b/>
                <w:bCs/>
                <w:color w:val="000000"/>
              </w:rPr>
              <w:t>Vientos y olores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Eje dominante WSW-SW; sin núcleos urbanos en los corredores principales analizados.</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721995" cy="228600"/>
                  <wp:effectExtent l="0" t="0" r="0" b="0"/>
                  <wp:docPr id="17"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
                          <pic:cNvPicPr>
                            <a:picLocks noChangeAspect="1" noChangeArrowheads="1"/>
                          </pic:cNvPicPr>
                        </pic:nvPicPr>
                        <pic:blipFill>
                          <a:blip r:embed="rId16"/>
                          <a:stretch>
                            <a:fillRect/>
                          </a:stretch>
                        </pic:blipFill>
                        <pic:spPr bwMode="auto">
                          <a:xfrm>
                            <a:off x="0" y="0"/>
                            <a:ext cx="72199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color w:val="000000"/>
              </w:rPr>
            </w:pPr>
            <w:r>
              <w:rPr>
                <w:color w:val="000000"/>
              </w:rPr>
              <w:t>NA</w:t>
            </w:r>
          </w:p>
        </w:tc>
      </w:tr>
      <w:tr>
        <w:trPr/>
        <w:tc>
          <w:tcPr>
            <w:tcW w:w="1548" w:type="dxa"/>
            <w:vMerge w:val="restart"/>
            <w:tcBorders>
              <w:top w:val="single" w:sz="6" w:space="0" w:color="BFBFBF"/>
              <w:left w:val="single" w:sz="6" w:space="0" w:color="BFBFBF"/>
              <w:bottom w:val="single" w:sz="6" w:space="0" w:color="BFBFBF"/>
              <w:right w:val="single" w:sz="6" w:space="0" w:color="BFBFBF"/>
            </w:tcBorders>
            <w:shd w:color="auto" w:fill="DEE6EF" w:val="clear"/>
            <w:vAlign w:val="center"/>
          </w:tcPr>
          <w:p>
            <w:pPr>
              <w:pStyle w:val="tabla"/>
              <w:spacing w:before="120" w:after="120"/>
              <w:rPr>
                <w:b/>
                <w:bCs/>
              </w:rPr>
            </w:pPr>
            <w:r>
              <w:rPr>
                <w:b/>
                <w:bCs/>
              </w:rPr>
              <w:t>Servidumbres de la red de transporte</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Red ferroviaria</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Sin intersección</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18"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pic:cNvPicPr>
                            <a:picLocks noChangeAspect="1" noChangeArrowheads="1"/>
                          </pic:cNvPicPr>
                        </pic:nvPicPr>
                        <pic:blipFill>
                          <a:blip r:embed="rId17"/>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pPr>
            <w:r>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Carreteras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19"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6"/>
                          <pic:cNvPicPr>
                            <a:picLocks noChangeAspect="1" noChangeArrowheads="1"/>
                          </pic:cNvPicPr>
                        </pic:nvPicPr>
                        <pic:blipFill>
                          <a:blip r:embed="rId18"/>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0.00</w:t>
            </w:r>
          </w:p>
        </w:tc>
      </w:tr>
      <w:tr>
        <w:trPr/>
        <w:tc>
          <w:tcPr>
            <w:tcW w:w="1548" w:type="dxa"/>
            <w:vMerge w:val="restart"/>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lineRule="auto" w:line="240" w:before="120" w:after="120"/>
              <w:ind w:hanging="0"/>
              <w:jc w:val="center"/>
              <w:rPr/>
            </w:pPr>
            <w:r>
              <w:rPr>
                <w:b/>
                <w:bCs/>
              </w:rPr>
              <w:t>Condicionantes ambientales</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Red Natura 2000</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Sin intersección</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0"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
                          <pic:cNvPicPr>
                            <a:picLocks noChangeAspect="1" noChangeArrowheads="1"/>
                          </pic:cNvPicPr>
                        </pic:nvPicPr>
                        <pic:blipFill>
                          <a:blip r:embed="rId19"/>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Espacios Naturales Protegidos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Sin intersección</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1"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8"/>
                          <pic:cNvPicPr>
                            <a:picLocks noChangeAspect="1" noChangeArrowheads="1"/>
                          </pic:cNvPicPr>
                        </pic:nvPicPr>
                        <pic:blipFill>
                          <a:blip r:embed="rId20"/>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Otros hábitats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2"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
                          <pic:cNvPicPr>
                            <a:picLocks noChangeAspect="1" noChangeArrowheads="1"/>
                          </pic:cNvPicPr>
                        </pic:nvPicPr>
                        <pic:blipFill>
                          <a:blip r:embed="rId21"/>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Forestal</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3"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0"/>
                          <pic:cNvPicPr>
                            <a:picLocks noChangeAspect="1" noChangeArrowheads="1"/>
                          </pic:cNvPicPr>
                        </pic:nvPicPr>
                        <pic:blipFill>
                          <a:blip r:embed="rId22"/>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Hidrografía</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4"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
                          <pic:cNvPicPr>
                            <a:picLocks noChangeAspect="1" noChangeArrowheads="1"/>
                          </pic:cNvPicPr>
                        </pic:nvPicPr>
                        <pic:blipFill>
                          <a:blip r:embed="rId23"/>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Zonas inundables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5"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
                          <pic:cNvPicPr>
                            <a:picLocks noChangeAspect="1" noChangeArrowheads="1"/>
                          </pic:cNvPicPr>
                        </pic:nvPicPr>
                        <pic:blipFill>
                          <a:blip r:embed="rId24"/>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0.0</w:t>
            </w:r>
          </w:p>
        </w:tc>
      </w:tr>
      <w:tr>
        <w:trPr>
          <w:cantSplit w:val="true"/>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rPr>
              <w:t>Zonas de pendiente superior al 6%</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Sin intersección</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6"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
                          <pic:cNvPicPr>
                            <a:picLocks noChangeAspect="1" noChangeArrowheads="1"/>
                          </pic:cNvPicPr>
                        </pic:nvPicPr>
                        <pic:blipFill>
                          <a:blip r:embed="rId25"/>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0.0</w:t>
            </w:r>
          </w:p>
        </w:tc>
      </w:tr>
      <w:tr>
        <w:trPr/>
        <w:tc>
          <w:tcPr>
            <w:tcW w:w="1548" w:type="dxa"/>
            <w:vMerge w:val="restart"/>
            <w:tcBorders>
              <w:top w:val="single" w:sz="6" w:space="0" w:color="BFBFBF"/>
              <w:left w:val="single" w:sz="6" w:space="0" w:color="BFBFBF"/>
              <w:bottom w:val="single" w:sz="6" w:space="0" w:color="BFBFBF"/>
              <w:right w:val="single" w:sz="6" w:space="0" w:color="BFBFBF"/>
            </w:tcBorders>
            <w:shd w:color="auto" w:fill="DEE6EF" w:val="clear"/>
            <w:vAlign w:val="center"/>
          </w:tcPr>
          <w:p>
            <w:pPr>
              <w:pStyle w:val="tabla"/>
              <w:spacing w:lineRule="auto" w:line="240" w:before="120" w:after="120"/>
              <w:ind w:hanging="0"/>
              <w:jc w:val="center"/>
              <w:rPr/>
            </w:pPr>
            <w:r>
              <w:rPr>
                <w:b/>
                <w:bCs/>
              </w:rPr>
              <w:t>Condicionantes agrológicos y ganaderos</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Vías Pecuarias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Sin intersección</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7"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4"/>
                          <pic:cNvPicPr>
                            <a:picLocks noChangeAspect="1" noChangeArrowheads="1"/>
                          </pic:cNvPicPr>
                        </pic:nvPicPr>
                        <pic:blipFill>
                          <a:blip r:embed="rId26"/>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0.0</w:t>
            </w:r>
          </w:p>
        </w:tc>
      </w:tr>
      <w:tr>
        <w:trPr/>
        <w:tc>
          <w:tcPr>
            <w:tcW w:w="1548" w:type="dxa"/>
            <w:vMerge w:val="continue"/>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before="120" w:after="120"/>
              <w:rPr>
                <w:b/>
                <w:bCs/>
              </w:rPr>
            </w:pPr>
            <w:r>
              <w:rPr>
                <w:b/>
                <w:bCs/>
              </w:rPr>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b/>
                <w:bCs/>
                <w:color w:val="000000"/>
              </w:rPr>
              <w:t>Características agrológicas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Zonas de cultivos (Viñedo)</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042035" cy="333375"/>
                  <wp:effectExtent l="0" t="0" r="0" b="0"/>
                  <wp:docPr id="28"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
                          <pic:cNvPicPr>
                            <a:picLocks noChangeAspect="1" noChangeArrowheads="1"/>
                          </pic:cNvPicPr>
                        </pic:nvPicPr>
                        <pic:blipFill>
                          <a:blip r:embed="rId27"/>
                          <a:stretch>
                            <a:fillRect/>
                          </a:stretch>
                        </pic:blipFill>
                        <pic:spPr bwMode="auto">
                          <a:xfrm>
                            <a:off x="0" y="0"/>
                            <a:ext cx="1042035" cy="333375"/>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color w:val="000000"/>
              </w:rPr>
              <w:t>14.0</w:t>
            </w:r>
          </w:p>
        </w:tc>
      </w:tr>
      <w:tr>
        <w:trPr/>
        <w:tc>
          <w:tcPr>
            <w:tcW w:w="1548" w:type="dxa"/>
            <w:tcBorders>
              <w:top w:val="single" w:sz="6" w:space="0" w:color="BFBFBF"/>
              <w:left w:val="single" w:sz="6" w:space="0" w:color="BFBFBF"/>
              <w:bottom w:val="single" w:sz="6" w:space="0" w:color="BFBFBF"/>
              <w:right w:val="single" w:sz="6" w:space="0" w:color="BFBFBF"/>
            </w:tcBorders>
            <w:shd w:color="auto" w:fill="FDF8F0" w:val="clear"/>
            <w:vAlign w:val="center"/>
          </w:tcPr>
          <w:p>
            <w:pPr>
              <w:pStyle w:val="tabla"/>
              <w:spacing w:lineRule="auto" w:line="240" w:before="120" w:after="120"/>
              <w:ind w:hanging="0"/>
              <w:jc w:val="center"/>
              <w:rPr/>
            </w:pPr>
            <w:r>
              <w:rPr>
                <w:b/>
                <w:bCs/>
              </w:rPr>
              <w:t>Condicionantes culturales</w:t>
            </w:r>
          </w:p>
        </w:tc>
        <w:tc>
          <w:tcPr>
            <w:tcW w:w="213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b/>
                <w:bCs/>
              </w:rPr>
            </w:pPr>
            <w:r>
              <w:rPr>
                <w:b/>
                <w:bCs/>
              </w:rPr>
              <w:t>Castillos, yacimientos y monumentos</w:t>
            </w:r>
          </w:p>
        </w:tc>
        <w:tc>
          <w:tcPr>
            <w:tcW w:w="2544"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No hay en un radio inferior a 1km</w:t>
            </w:r>
          </w:p>
        </w:tc>
        <w:tc>
          <w:tcPr>
            <w:tcW w:w="1963" w:type="dxa"/>
            <w:tcBorders>
              <w:top w:val="single" w:sz="6" w:space="0" w:color="BFBFBF"/>
              <w:left w:val="single" w:sz="6" w:space="0" w:color="BFBFBF"/>
              <w:bottom w:val="single" w:sz="6" w:space="0" w:color="BFBFBF"/>
              <w:right w:val="single" w:sz="6" w:space="0" w:color="BFBFBF"/>
            </w:tcBorders>
            <w:vAlign w:val="center"/>
          </w:tcPr>
          <w:p>
            <w:pPr>
              <w:pStyle w:val="tabla"/>
              <w:spacing w:before="120" w:after="120"/>
              <w:rPr/>
            </w:pPr>
            <w:r>
              <w:rPr/>
              <w:drawing>
                <wp:inline distT="0" distB="0" distL="0" distR="0">
                  <wp:extent cx="1127125" cy="228600"/>
                  <wp:effectExtent l="0" t="0" r="0" b="0"/>
                  <wp:docPr id="29"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6"/>
                          <pic:cNvPicPr>
                            <a:picLocks noChangeAspect="1" noChangeArrowheads="1"/>
                          </pic:cNvPicPr>
                        </pic:nvPicPr>
                        <pic:blipFill>
                          <a:blip r:embed="rId28"/>
                          <a:stretch>
                            <a:fillRect/>
                          </a:stretch>
                        </pic:blipFill>
                        <pic:spPr bwMode="auto">
                          <a:xfrm>
                            <a:off x="0" y="0"/>
                            <a:ext cx="1127125" cy="228600"/>
                          </a:xfrm>
                          <a:prstGeom prst="rect">
                            <a:avLst/>
                          </a:prstGeom>
                          <a:noFill/>
                        </pic:spPr>
                      </pic:pic>
                    </a:graphicData>
                  </a:graphic>
                </wp:inline>
              </w:drawing>
            </w:r>
          </w:p>
        </w:tc>
        <w:tc>
          <w:tcPr>
            <w:tcW w:w="1428" w:type="dxa"/>
            <w:tcBorders>
              <w:top w:val="single" w:sz="6" w:space="0" w:color="BFBFBF"/>
              <w:left w:val="single" w:sz="6" w:space="0" w:color="BFBFBF"/>
              <w:bottom w:val="single" w:sz="6" w:space="0" w:color="BFBFBF"/>
              <w:right w:val="single" w:sz="6" w:space="0" w:color="BFBFBF"/>
            </w:tcBorders>
            <w:vAlign w:val="center"/>
          </w:tcPr>
          <w:p>
            <w:pPr>
              <w:pStyle w:val="tabla"/>
              <w:spacing w:lineRule="auto" w:line="240" w:before="120" w:after="120"/>
              <w:ind w:hanging="0"/>
              <w:jc w:val="center"/>
              <w:rPr/>
            </w:pPr>
            <w:r>
              <w:rPr/>
              <w:t>0.0</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65" w:name="__RefHeading___Toc1325_3003605631"/>
      <w:bookmarkStart w:id="66" w:name="_Toc232044927"/>
      <w:bookmarkStart w:id="67" w:name="_Toc232044956"/>
      <w:bookmarkStart w:id="68" w:name="_Toc232058881"/>
      <w:bookmarkStart w:id="69" w:name="_Toc183517965"/>
      <w:bookmarkEnd w:id="65"/>
      <w:r>
        <w:rPr/>
        <w:t>V</w:t>
      </w:r>
      <w:bookmarkEnd w:id="69"/>
      <w:r>
        <w:rPr/>
        <w:t>ientos y olores</w:t>
      </w:r>
      <w:bookmarkEnd w:id="66"/>
      <w:bookmarkEnd w:id="67"/>
      <w:bookmarkEnd w:id="68"/>
    </w:p>
    <w:p>
      <w:pPr>
        <w:pStyle w:val="ListParagraph"/>
        <w:rPr/>
      </w:pPr>
      <w:r>
        <w:rPr/>
        <w:t xml:space="preserve">Los vientos predominantes (WSW </w:t>
      </w:r>
      <w:r>
        <w:rPr>
          <w:b/>
          <w:bCs/>
        </w:rPr>
        <w:t>14.2%</w:t>
      </w:r>
      <w:r>
        <w:rPr/>
        <w:t xml:space="preserve">, </w:t>
      </w:r>
      <w:r>
        <w:rPr>
          <w:b/>
          <w:bCs/>
        </w:rPr>
        <w:t>13.1 km</w:t>
      </w:r>
      <w:r>
        <w:rPr/>
        <w:t xml:space="preserve">/h) y secundarios (SW </w:t>
      </w:r>
      <w:r>
        <w:rPr>
          <w:b/>
          <w:bCs/>
        </w:rPr>
        <w:t>12.8%</w:t>
      </w:r>
      <w:r>
        <w:rPr/>
        <w:t xml:space="preserve">, </w:t>
      </w:r>
      <w:r>
        <w:rPr>
          <w:b/>
          <w:bCs/>
        </w:rPr>
        <w:t>12.8 km</w:t>
      </w:r>
      <w:r>
        <w:rPr/>
        <w:t xml:space="preserve">/h) dispersan hacia el ENE/NE sobre fincas rústicas no pobladas en el corredor de </w:t>
      </w:r>
      <w:r>
        <w:rPr>
          <w:b/>
          <w:bCs/>
        </w:rPr>
        <w:t>3 km</w:t>
      </w:r>
      <w:r>
        <w:rPr/>
        <w:t>.</w:t>
      </w:r>
    </w:p>
    <w:p>
      <w:pPr>
        <w:pStyle w:val="ListParagraph"/>
        <w:rPr/>
      </w:pPr>
      <w:r>
        <w:rPr>
          <w:b/>
          <w:bCs/>
        </w:rPr>
        <w:t>Dirección predominante</w:t>
      </w:r>
      <w:r>
        <w:rPr/>
        <w:t>: WSW</w:t>
      </w:r>
    </w:p>
    <w:p>
      <w:pPr>
        <w:pStyle w:val="ListParagraph"/>
        <w:rPr/>
      </w:pPr>
      <w:r>
        <w:rPr>
          <w:b/>
          <w:bCs/>
        </w:rPr>
        <w:t>Dirección secundaria</w:t>
      </w:r>
      <w:r>
        <w:rPr/>
        <w:t>: SW</w:t>
      </w:r>
    </w:p>
    <w:p>
      <w:pPr>
        <w:pStyle w:val="ListParagraph"/>
        <w:rPr/>
      </w:pPr>
      <w:r>
        <w:rPr>
          <w:b/>
          <w:bCs/>
        </w:rPr>
        <w:t>Velocidad media del viento</w:t>
      </w:r>
      <w:r>
        <w:rPr/>
        <w:t>: 11.5 km/h</w:t>
      </w:r>
    </w:p>
    <w:p>
      <w:pPr>
        <w:pStyle w:val="ListParagraph"/>
        <w:spacing w:before="115" w:after="274"/>
        <w:rPr/>
      </w:pPr>
      <w:r>
        <w:rPr>
          <w:b/>
          <w:bCs/>
        </w:rPr>
        <w:t>Corredor de dispersión analizado</w:t>
      </w:r>
      <w:r>
        <w:rPr/>
        <w:t>: 3 km x 1 km</w:t>
      </w:r>
    </w:p>
    <w:tbl>
      <w:tblPr>
        <w:tblW w:w="5000" w:type="pct"/>
        <w:jc w:val="center"/>
        <w:tblInd w:w="0" w:type="dxa"/>
        <w:tblLayout w:type="fixed"/>
        <w:tblCellMar>
          <w:top w:w="173" w:type="dxa"/>
          <w:left w:w="5" w:type="dxa"/>
          <w:bottom w:w="0" w:type="dxa"/>
          <w:right w:w="5" w:type="dxa"/>
        </w:tblCellMar>
        <w:tblLook w:val="04a0" w:noHBand="0" w:noVBand="1" w:firstColumn="1" w:lastRow="0" w:lastColumn="0" w:firstRow="1"/>
      </w:tblPr>
      <w:tblGrid>
        <w:gridCol w:w="9638"/>
      </w:tblGrid>
      <w:tr>
        <w:trPr/>
        <w:tc>
          <w:tcPr>
            <w:tcW w:w="9638" w:type="dxa"/>
            <w:tcBorders>
              <w:top w:val="single" w:sz="4" w:space="0" w:color="BFBFBF"/>
              <w:left w:val="single" w:sz="4" w:space="0" w:color="BFBFBF"/>
              <w:bottom w:val="single" w:sz="4" w:space="0" w:color="BFBFBF"/>
              <w:right w:val="single" w:sz="4" w:space="0" w:color="BFBFBF"/>
            </w:tcBorders>
            <w:vAlign w:val="center"/>
          </w:tcPr>
          <w:p>
            <w:pPr>
              <w:pStyle w:val="ListParagraph"/>
              <w:spacing w:before="171" w:after="171"/>
              <w:jc w:val="center"/>
              <w:rPr/>
            </w:pPr>
            <w:r>
              <w:rPr/>
              <w:drawing>
                <wp:inline distT="0" distB="0" distL="0" distR="0">
                  <wp:extent cx="5619115" cy="3933190"/>
                  <wp:effectExtent l="0" t="0" r="0" b="0"/>
                  <wp:docPr id="30"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
                          <pic:cNvPicPr>
                            <a:picLocks noChangeAspect="1" noChangeArrowheads="1"/>
                          </pic:cNvPicPr>
                        </pic:nvPicPr>
                        <pic:blipFill>
                          <a:blip r:embed="rId29"/>
                          <a:stretch>
                            <a:fillRect/>
                          </a:stretch>
                        </pic:blipFill>
                        <pic:spPr bwMode="auto">
                          <a:xfrm>
                            <a:off x="0" y="0"/>
                            <a:ext cx="5619115" cy="3933190"/>
                          </a:xfrm>
                          <a:prstGeom prst="rect">
                            <a:avLst/>
                          </a:prstGeom>
                          <a:noFill/>
                        </pic:spPr>
                      </pic:pic>
                    </a:graphicData>
                  </a:graphic>
                </wp:inline>
              </w:drawing>
            </w:r>
          </w:p>
        </w:tc>
      </w:tr>
    </w:tbl>
    <w:p>
      <w:pPr>
        <w:pStyle w:val="ListParagraph"/>
        <w:spacing w:before="286" w:after="272"/>
        <w:jc w:val="center"/>
        <w:rPr/>
      </w:pPr>
      <w:r>
        <w:rPr/>
      </w:r>
      <w:r>
        <w:br w:type="page"/>
      </w:r>
    </w:p>
    <w:p>
      <w:pPr>
        <w:pStyle w:val="Heading2"/>
        <w:spacing w:before="0" w:after="240"/>
        <w:ind w:hanging="578" w:left="578"/>
        <w:contextualSpacing/>
        <w:rPr/>
      </w:pPr>
      <w:bookmarkStart w:id="70" w:name="__RefHeading___Toc1327_3003605631"/>
      <w:bookmarkStart w:id="71" w:name="_Toc232044928"/>
      <w:bookmarkStart w:id="72" w:name="_Toc232044957"/>
      <w:bookmarkStart w:id="73" w:name="_Toc232058882"/>
      <w:bookmarkEnd w:id="70"/>
      <w:r>
        <w:rPr/>
        <w:t>Proximidad a núcleos de población y construcciones aisladas</w:t>
      </w:r>
      <w:bookmarkEnd w:id="71"/>
      <w:bookmarkEnd w:id="72"/>
      <w:bookmarkEnd w:id="73"/>
    </w:p>
    <w:p>
      <w:pPr>
        <w:pStyle w:val="ListParagraph"/>
        <w:numPr>
          <w:ilvl w:val="0"/>
          <w:numId w:val="8"/>
        </w:numPr>
        <w:rPr>
          <w:b/>
          <w:bCs/>
        </w:rPr>
      </w:pPr>
      <w:r>
        <w:rPr>
          <w:b/>
          <w:bCs/>
        </w:rPr>
        <w:t>Distancia respecto a núcleos de población</w:t>
      </w:r>
    </w:p>
    <w:p>
      <w:pPr>
        <w:pStyle w:val="ListParagraph"/>
        <w:rPr/>
      </w:pPr>
      <w:r>
        <w:rPr/>
        <w:t>La parcela se encuentra a 2533</w:t>
      </w:r>
      <w:bookmarkStart w:id="74" w:name="_Toc183517967"/>
      <w:bookmarkEnd w:id="74"/>
      <w:r>
        <w:rPr/>
        <w:t xml:space="preserve"> metros del núcleo de población más cercano.</w:t>
      </w:r>
    </w:p>
    <w:p>
      <w:pPr>
        <w:pStyle w:val="ListParagraph"/>
        <w:rPr/>
      </w:pPr>
      <w:r>
        <w:rPr/>
        <w:t xml:space="preserve">Distancias superiores a </w:t>
      </w:r>
      <w:r>
        <w:rPr>
          <w:b/>
          <w:bCs/>
        </w:rPr>
        <w:t>2 km</w:t>
      </w:r>
      <w:r>
        <w:rPr/>
        <w:t xml:space="preserve"> de núcleos de población </w:t>
      </w:r>
      <w:r>
        <w:rPr>
          <w:b/>
          <w:bCs/>
        </w:rPr>
        <w:t>minimizan enormemente posibles conflictos</w:t>
      </w:r>
      <w:r>
        <w:rPr/>
        <w:t xml:space="preserve"> con el desarrollo urbano y reduce las restricciones normativas asociadas.</w:t>
      </w:r>
    </w:p>
    <w:p>
      <w:pPr>
        <w:pStyle w:val="ListParagraph"/>
        <w:numPr>
          <w:ilvl w:val="0"/>
          <w:numId w:val="9"/>
        </w:numPr>
        <w:rPr>
          <w:b/>
          <w:bCs/>
        </w:rPr>
      </w:pPr>
      <w:r>
        <w:rPr>
          <w:b/>
          <w:bCs/>
        </w:rPr>
        <w:t>Distancia respecto a viviendas y construcciones aisladas</w:t>
      </w:r>
    </w:p>
    <w:p>
      <w:pPr>
        <w:pStyle w:val="ListParagraph"/>
        <w:rPr/>
      </w:pPr>
      <w:r>
        <w:rPr/>
        <w:t xml:space="preserve">Por otro lado, la distancia respecto a viviendas y polígonos aislados es de 20919 metros.  </w:t>
      </w:r>
    </w:p>
    <w:p>
      <w:pPr>
        <w:pStyle w:val="ListParagraph"/>
        <w:spacing w:before="115" w:after="187"/>
        <w:rPr/>
      </w:pPr>
      <w:r>
        <w:rPr>
          <w:b/>
          <w:bCs/>
        </w:rPr>
        <w:t>La parcela no se encuentra próxima a viviendas aisladas ni a pequeñas concentraciones urbanas</w:t>
      </w:r>
      <w:r>
        <w:rPr/>
        <w:t xml:space="preserve"> , lo que reduce las posibles afecciones por impacto visual, olores o ruido derivadas de la actividad de la planta de biometano.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6300"/>
        <w:gridCol w:w="3338"/>
      </w:tblGrid>
      <w:tr>
        <w:trPr>
          <w:cantSplit w:val="true"/>
        </w:trPr>
        <w:tc>
          <w:tcPr>
            <w:tcW w:w="6300" w:type="dxa"/>
            <w:vMerge w:val="restart"/>
            <w:tcBorders>
              <w:top w:val="single" w:sz="4" w:space="0" w:color="DDDDDD"/>
              <w:left w:val="single" w:sz="4" w:space="0" w:color="DDDDDD"/>
              <w:bottom w:val="single" w:sz="4" w:space="0" w:color="DDDDDD"/>
            </w:tcBorders>
            <w:vAlign w:val="center"/>
          </w:tcPr>
          <w:p>
            <w:pPr>
              <w:pStyle w:val="tabla"/>
              <w:keepNext w:val="true"/>
              <w:spacing w:before="113" w:after="57"/>
              <w:rPr/>
            </w:pPr>
            <w:r>
              <w:rPr/>
              <w:drawing>
                <wp:inline distT="0" distB="0" distL="0" distR="0">
                  <wp:extent cx="3904615" cy="3904615"/>
                  <wp:effectExtent l="0" t="0" r="0" b="0"/>
                  <wp:docPr id="31"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8"/>
                          <pic:cNvPicPr>
                            <a:picLocks noChangeAspect="1" noChangeArrowheads="1"/>
                          </pic:cNvPicPr>
                        </pic:nvPicPr>
                        <pic:blipFill>
                          <a:blip r:embed="rId30"/>
                          <a:stretch>
                            <a:fillRect/>
                          </a:stretch>
                        </pic:blipFill>
                        <pic:spPr bwMode="auto">
                          <a:xfrm>
                            <a:off x="0" y="0"/>
                            <a:ext cx="3904615" cy="3904615"/>
                          </a:xfrm>
                          <a:prstGeom prst="rect">
                            <a:avLst/>
                          </a:prstGeom>
                          <a:noFill/>
                        </pic:spPr>
                      </pic:pic>
                    </a:graphicData>
                  </a:graphic>
                </wp:inline>
              </w:drawing>
            </w:r>
          </w:p>
        </w:tc>
        <w:tc>
          <w:tcPr>
            <w:tcW w:w="3338" w:type="dxa"/>
            <w:tcBorders>
              <w:top w:val="single" w:sz="4" w:space="0" w:color="DDDDDD"/>
              <w:left w:val="single" w:sz="4" w:space="0" w:color="DDDDDD"/>
              <w:bottom w:val="single" w:sz="4" w:space="0" w:color="DDDDDD"/>
              <w:right w:val="single" w:sz="4" w:space="0" w:color="DDDDDD"/>
            </w:tcBorders>
            <w:shd w:color="auto" w:fill="DDEFDD" w:val="clear"/>
          </w:tcPr>
          <w:p>
            <w:pPr>
              <w:pStyle w:val="tabla"/>
              <w:spacing w:before="120" w:after="120"/>
              <w:rPr>
                <w:b/>
                <w:bCs/>
              </w:rPr>
            </w:pPr>
            <w:r>
              <w:rPr>
                <w:b/>
                <w:bCs/>
              </w:rPr>
              <w:t>LEYENDA</w:t>
            </w:r>
          </w:p>
        </w:tc>
      </w:tr>
      <w:tr>
        <w:trPr>
          <w:cantSplit w:val="true"/>
        </w:trPr>
        <w:tc>
          <w:tcPr>
            <w:tcW w:w="6300" w:type="dxa"/>
            <w:vMerge w:val="continue"/>
            <w:tcBorders>
              <w:left w:val="single" w:sz="4" w:space="0" w:color="DDDDDD"/>
              <w:bottom w:val="single" w:sz="4" w:space="0" w:color="DDDDDD"/>
            </w:tcBorders>
          </w:tcPr>
          <w:p>
            <w:pPr>
              <w:pStyle w:val="tabla"/>
              <w:keepNext w:val="true"/>
              <w:spacing w:before="120" w:after="120"/>
              <w:rPr/>
            </w:pPr>
            <w:r>
              <w:rPr/>
            </w:r>
          </w:p>
        </w:tc>
        <w:tc>
          <w:tcPr>
            <w:tcW w:w="3338" w:type="dxa"/>
            <w:tcBorders>
              <w:left w:val="single" w:sz="4" w:space="0" w:color="DDDDDD"/>
              <w:bottom w:val="single" w:sz="4" w:space="0" w:color="DDDDDD"/>
              <w:right w:val="single" w:sz="4" w:space="0" w:color="DDDDDD"/>
            </w:tcBorders>
          </w:tcPr>
          <w:p>
            <w:pPr>
              <w:pStyle w:val="tabla"/>
              <w:spacing w:before="170" w:after="113"/>
              <w:ind w:hanging="0" w:left="170"/>
              <w:jc w:val="left"/>
              <w:rPr/>
            </w:pPr>
            <w:r>
              <w:rPr/>
              <w:drawing>
                <wp:inline distT="0" distB="0" distL="0" distR="0">
                  <wp:extent cx="1809115" cy="436245"/>
                  <wp:effectExtent l="0" t="0" r="0" b="0"/>
                  <wp:docPr id="32"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9"/>
                          <pic:cNvPicPr>
                            <a:picLocks noChangeAspect="1" noChangeArrowheads="1"/>
                          </pic:cNvPicPr>
                        </pic:nvPicPr>
                        <pic:blipFill>
                          <a:blip r:embed="rId31"/>
                          <a:stretch>
                            <a:fillRect/>
                          </a:stretch>
                        </pic:blipFill>
                        <pic:spPr bwMode="auto">
                          <a:xfrm>
                            <a:off x="0" y="0"/>
                            <a:ext cx="1809115" cy="436245"/>
                          </a:xfrm>
                          <a:prstGeom prst="rect">
                            <a:avLst/>
                          </a:prstGeom>
                          <a:noFill/>
                        </pic:spPr>
                      </pic:pic>
                    </a:graphicData>
                  </a:graphic>
                </wp:inline>
              </w:drawing>
            </w:r>
          </w:p>
        </w:tc>
      </w:tr>
      <w:tr>
        <w:trPr>
          <w:trHeight w:val="127" w:hRule="atLeast"/>
          <w:cantSplit w:val="true"/>
        </w:trPr>
        <w:tc>
          <w:tcPr>
            <w:tcW w:w="9638" w:type="dxa"/>
            <w:gridSpan w:val="2"/>
            <w:tcBorders>
              <w:left w:val="single" w:sz="4" w:space="0" w:color="DDDDDD"/>
              <w:bottom w:val="single" w:sz="4" w:space="0" w:color="DDDDDD"/>
              <w:right w:val="single" w:sz="4" w:space="0" w:color="DDDDDD"/>
            </w:tcBorders>
            <w:shd w:color="auto" w:fill="FDF9E9" w:val="clear"/>
          </w:tcPr>
          <w:p>
            <w:pPr>
              <w:pStyle w:val="tabla"/>
              <w:spacing w:before="120" w:after="120"/>
              <w:rPr>
                <w:color w:val="000000"/>
                <w:sz w:val="16"/>
                <w:szCs w:val="16"/>
              </w:rPr>
            </w:pPr>
            <w:r>
              <w:rPr>
                <w:i/>
                <w:iCs/>
              </w:rPr>
              <w:t>Parcela representada junto núcleos y construcciones cercanas</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75" w:name="__RefHeading___Toc1329_3003605631"/>
      <w:bookmarkStart w:id="76" w:name="_Toc232058883"/>
      <w:bookmarkStart w:id="77" w:name="_Toc232044958"/>
      <w:bookmarkStart w:id="78" w:name="_Toc232044929"/>
      <w:bookmarkEnd w:id="75"/>
      <w:r>
        <w:rPr/>
        <w:t>Servidumbres de la red de transporte</w:t>
      </w:r>
      <w:bookmarkEnd w:id="76"/>
      <w:bookmarkEnd w:id="77"/>
      <w:bookmarkEnd w:id="78"/>
    </w:p>
    <w:p>
      <w:pPr>
        <w:pStyle w:val="ListParagraph"/>
        <w:numPr>
          <w:ilvl w:val="0"/>
          <w:numId w:val="10"/>
        </w:numPr>
        <w:rPr>
          <w:b/>
          <w:bCs/>
        </w:rPr>
      </w:pPr>
      <w:r>
        <w:rPr>
          <w:b/>
          <w:bCs/>
        </w:rPr>
        <w:t>Servidumbre de la red ferroviaria</w:t>
      </w:r>
    </w:p>
    <w:p>
      <w:pPr>
        <w:pStyle w:val="ListParagraph"/>
        <w:rPr/>
      </w:pPr>
      <w:r>
        <w:rPr>
          <w:b/>
          <w:bCs/>
        </w:rPr>
        <w:t>La parcela no se encuentra afectada por servidumbres ferroviarias</w:t>
      </w:r>
      <w:r>
        <w:rPr/>
        <w:t xml:space="preserve"> según el análisis realizado. Esto indica que no existen restricciones derivadas de la proximidad a infraestructuras ferroviarias que puedan condicionar el desarrollo del proyecto de biometano.</w:t>
      </w:r>
    </w:p>
    <w:p>
      <w:pPr>
        <w:pStyle w:val="ListParagraph"/>
        <w:numPr>
          <w:ilvl w:val="0"/>
          <w:numId w:val="11"/>
        </w:numPr>
        <w:rPr/>
      </w:pPr>
      <w:r>
        <w:rPr>
          <w:b/>
          <w:bCs/>
        </w:rPr>
        <w:t>Servidumbre de la red de carreteras</w:t>
      </w:r>
    </w:p>
    <w:p>
      <w:pPr>
        <w:pStyle w:val="ListParagraph"/>
        <w:rPr/>
      </w:pPr>
      <w:r>
        <w:rPr/>
        <w:t xml:space="preserve">El análisis de restricciones viarias aplica la </w:t>
      </w:r>
      <w:r>
        <w:rPr>
          <w:b/>
        </w:rPr>
        <w:t>Línea Límite de Edificación</w:t>
      </w:r>
      <w:r>
        <w:rPr/>
        <w:t xml:space="preserve"> conforme a la </w:t>
      </w:r>
      <w:r>
        <w:rPr>
          <w:b/>
        </w:rPr>
        <w:t>Ley 37/2015 de Carreteras</w:t>
      </w:r>
      <w:r>
        <w:rPr/>
        <w:t xml:space="preserve"> y normativa autonómica supletoria, estableciendo zonas de exclusión de </w:t>
      </w:r>
      <w:r>
        <w:rPr>
          <w:b/>
        </w:rPr>
        <w:t>50 m</w:t>
      </w:r>
      <w:r>
        <w:rPr/>
        <w:t xml:space="preserve"> para vías de alta capacidad y un estándar de </w:t>
      </w:r>
      <w:r>
        <w:rPr>
          <w:b/>
        </w:rPr>
        <w:t>18-25 m</w:t>
      </w:r>
      <w:r>
        <w:rPr/>
        <w:t xml:space="preserve"> para la red convencional según su jerarquía y titularidad</w:t>
      </w:r>
    </w:p>
    <w:p>
      <w:pPr>
        <w:pStyle w:val="ListParagraph"/>
        <w:rPr/>
      </w:pPr>
      <w:r>
        <w:rPr/>
        <w:t>Sin afección por servidumbre de carreteras.</w:t>
      </w:r>
      <w:r>
        <w:br w:type="page"/>
      </w:r>
    </w:p>
    <w:p>
      <w:pPr>
        <w:pStyle w:val="Heading2"/>
        <w:spacing w:before="0" w:after="240"/>
        <w:ind w:hanging="578" w:left="578"/>
        <w:contextualSpacing/>
        <w:rPr/>
      </w:pPr>
      <w:bookmarkStart w:id="79" w:name="__RefHeading___Toc1331_3003605631"/>
      <w:bookmarkStart w:id="80" w:name="_Toc232044930"/>
      <w:bookmarkStart w:id="81" w:name="_Toc232044959"/>
      <w:bookmarkStart w:id="82" w:name="_Toc232058884"/>
      <w:bookmarkEnd w:id="79"/>
      <w:r>
        <w:rPr/>
        <w:t>Relieve del terreno</w:t>
      </w:r>
      <w:bookmarkEnd w:id="80"/>
      <w:bookmarkEnd w:id="81"/>
      <w:bookmarkEnd w:id="82"/>
    </w:p>
    <w:p>
      <w:pPr>
        <w:pStyle w:val="ListParagraph"/>
        <w:rPr/>
      </w:pPr>
      <w:r>
        <w:rPr/>
        <w:t>Se ha calculado la pendiente de las parcelas a partir del Modelo Digital del Terreno (MDT) SRTM90 proporcionado por el plugin de QGIS OpenTopography. En la imagen inferior se aprecia la distribución de la pendiente en la superficie de las parcelas.</w:t>
      </w:r>
    </w:p>
    <w:p>
      <w:pPr>
        <w:pStyle w:val="ListParagraph"/>
        <w:rPr/>
      </w:pPr>
      <w:r>
        <w:rPr>
          <w:rStyle w:val="Strong"/>
          <w:b w:val="false"/>
          <w:bCs w:val="false"/>
        </w:rPr>
        <w:t>El análisis detallado de la pendiente de las parcelas permite evaluar su idoneidad para la construcción de una planta de biogás. En caso de existir restricciones derivadas de la inclinación del terreno, se recomendarán medidas correctoras o la reconsideración de la ubicación del proyecto.</w:t>
      </w:r>
    </w:p>
    <w:p>
      <w:pPr>
        <w:pStyle w:val="ListParagraph"/>
        <w:numPr>
          <w:ilvl w:val="0"/>
          <w:numId w:val="12"/>
        </w:numPr>
        <w:rPr/>
      </w:pPr>
      <w:r>
        <w:rPr>
          <w:rStyle w:val="Strong"/>
        </w:rPr>
        <w:t>Zonas de pendiente</w:t>
      </w:r>
    </w:p>
    <w:p>
      <w:pPr>
        <w:pStyle w:val="ListParagraph"/>
        <w:spacing w:before="115" w:after="187"/>
        <w:rPr/>
      </w:pPr>
      <w:r>
        <w:rPr/>
        <w:t xml:space="preserve">El análisis topográfico de las parcelas </w:t>
      </w:r>
      <w:r>
        <w:rPr>
          <w:b/>
          <w:bCs/>
        </w:rPr>
        <w:t>no ha identificado pendientes superiores al 6%</w:t>
      </w:r>
      <w:r>
        <w:rPr/>
        <w:t xml:space="preserve"> que puedan afectar a la viabilidad del proyecto de biometano. La topografía del terreno se considera adecuada para la instalación de la infraestructura necesaria (planta, digestores, conducciones, etc.).</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0" w:after="0"/>
              <w:rPr/>
            </w:pPr>
            <w:r>
              <w:rPr/>
              <w:drawing>
                <wp:inline distT="0" distB="0" distL="0" distR="0">
                  <wp:extent cx="3285490" cy="3285490"/>
                  <wp:effectExtent l="0" t="0" r="0" b="0"/>
                  <wp:docPr id="33"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0"/>
                          <pic:cNvPicPr>
                            <a:picLocks noChangeAspect="1" noChangeArrowheads="1"/>
                          </pic:cNvPicPr>
                        </pic:nvPicPr>
                        <pic:blipFill>
                          <a:blip r:embed="rId32"/>
                          <a:stretch>
                            <a:fillRect/>
                          </a:stretch>
                        </pic:blipFill>
                        <pic:spPr bwMode="auto">
                          <a:xfrm>
                            <a:off x="0" y="0"/>
                            <a:ext cx="3285490" cy="3285490"/>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143000" cy="394335"/>
                  <wp:effectExtent l="0" t="0" r="0" b="0"/>
                  <wp:docPr id="34"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
                          <pic:cNvPicPr>
                            <a:picLocks noChangeAspect="1" noChangeArrowheads="1"/>
                          </pic:cNvPicPr>
                        </pic:nvPicPr>
                        <pic:blipFill>
                          <a:blip r:embed="rId33"/>
                          <a:stretch>
                            <a:fillRect/>
                          </a:stretch>
                        </pic:blipFill>
                        <pic:spPr bwMode="auto">
                          <a:xfrm>
                            <a:off x="0" y="0"/>
                            <a:ext cx="1143000" cy="394335"/>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35"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2"/>
                          <pic:cNvPicPr>
                            <a:picLocks noChangeAspect="1" noChangeArrowheads="1"/>
                          </pic:cNvPicPr>
                        </pic:nvPicPr>
                        <pic:blipFill>
                          <a:blip r:embed="rId34"/>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de pendiente mayor del 6%</w:t>
            </w:r>
          </w:p>
        </w:tc>
      </w:tr>
    </w:tbl>
    <w:p>
      <w:pPr>
        <w:pStyle w:val="Heading2"/>
        <w:numPr>
          <w:ilvl w:val="0"/>
          <w:numId w:val="0"/>
        </w:numPr>
        <w:spacing w:lineRule="auto" w:line="300"/>
        <w:ind w:hanging="0" w:left="907"/>
        <w:rPr/>
      </w:pPr>
      <w:r>
        <w:rPr/>
      </w:r>
      <w:r>
        <w:br w:type="page"/>
      </w:r>
    </w:p>
    <w:p>
      <w:pPr>
        <w:pStyle w:val="Heading2"/>
        <w:spacing w:before="0" w:after="240"/>
        <w:ind w:hanging="578" w:left="578"/>
        <w:contextualSpacing/>
        <w:rPr/>
      </w:pPr>
      <w:bookmarkStart w:id="83" w:name="__RefHeading___Toc1333_3003605631"/>
      <w:bookmarkStart w:id="84" w:name="_Toc183517968"/>
      <w:bookmarkStart w:id="85" w:name="_Toc232044931"/>
      <w:bookmarkStart w:id="86" w:name="_Toc232044960"/>
      <w:bookmarkStart w:id="87" w:name="_Toc232058885"/>
      <w:bookmarkEnd w:id="83"/>
      <w:r>
        <w:rPr/>
        <w:t>Red Natura 2000</w:t>
      </w:r>
      <w:bookmarkEnd w:id="84"/>
      <w:bookmarkEnd w:id="85"/>
      <w:bookmarkEnd w:id="86"/>
      <w:bookmarkEnd w:id="87"/>
    </w:p>
    <w:p>
      <w:pPr>
        <w:pStyle w:val="ListParagraph"/>
        <w:spacing w:before="115" w:after="187"/>
        <w:rPr>
          <w:color w:val="000000"/>
        </w:rPr>
      </w:pPr>
      <w:r>
        <w:rPr>
          <w:b/>
          <w:bCs/>
        </w:rPr>
        <w:t>La parcela no está incluida en la Red Natura 2000</w:t>
      </w:r>
      <w:r>
        <w:rPr/>
        <w:t>, una red europea de áreas destinadas a la protección de la biodiversidad. Esto minimiza las limitaciones ambientales asociadas y facilita su posible desarrollo.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285490" cy="3285490"/>
                  <wp:effectExtent l="0" t="0" r="0" b="0"/>
                  <wp:docPr id="36"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
                          <pic:cNvPicPr>
                            <a:picLocks noChangeAspect="1" noChangeArrowheads="1"/>
                          </pic:cNvPicPr>
                        </pic:nvPicPr>
                        <pic:blipFill>
                          <a:blip r:embed="rId35"/>
                          <a:stretch>
                            <a:fillRect/>
                          </a:stretch>
                        </pic:blipFill>
                        <pic:spPr bwMode="auto">
                          <a:xfrm>
                            <a:off x="0" y="0"/>
                            <a:ext cx="3285490" cy="3285490"/>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238250" cy="375285"/>
                  <wp:effectExtent l="0" t="0" r="0" b="0"/>
                  <wp:docPr id="37"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4"/>
                          <pic:cNvPicPr>
                            <a:picLocks noChangeAspect="1" noChangeArrowheads="1"/>
                          </pic:cNvPicPr>
                        </pic:nvPicPr>
                        <pic:blipFill>
                          <a:blip r:embed="rId36"/>
                          <a:stretch>
                            <a:fillRect/>
                          </a:stretch>
                        </pic:blipFill>
                        <pic:spPr bwMode="auto">
                          <a:xfrm>
                            <a:off x="0" y="0"/>
                            <a:ext cx="1238250" cy="375285"/>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38"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5"/>
                          <pic:cNvPicPr>
                            <a:picLocks noChangeAspect="1" noChangeArrowheads="1"/>
                          </pic:cNvPicPr>
                        </pic:nvPicPr>
                        <pic:blipFill>
                          <a:blip r:embed="rId37"/>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de la Red Natura 2000 y ENP próximas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88" w:name="__RefHeading___Toc1335_3003605631"/>
      <w:bookmarkStart w:id="89" w:name="_Toc232044932"/>
      <w:bookmarkStart w:id="90" w:name="_Toc232058886"/>
      <w:bookmarkStart w:id="91" w:name="_Toc232044961"/>
      <w:bookmarkEnd w:id="88"/>
      <w:r>
        <w:rPr/>
        <w:t>Espacios Naturales Protegidos</w:t>
      </w:r>
      <w:bookmarkEnd w:id="89"/>
      <w:bookmarkEnd w:id="90"/>
      <w:bookmarkEnd w:id="91"/>
    </w:p>
    <w:p>
      <w:pPr>
        <w:pStyle w:val="ListParagraph"/>
        <w:spacing w:before="360" w:after="187"/>
        <w:rPr>
          <w:color w:val="000000"/>
        </w:rPr>
      </w:pPr>
      <w:r>
        <w:rPr>
          <w:b/>
          <w:bCs/>
        </w:rPr>
        <w:t>La parcela no se encuentra dentro de Espacios Naturales Protegidos</w:t>
      </w:r>
      <w:r>
        <w:rPr/>
        <w:t>, áreas designadas para la conservación de ecosistemas de alto valor ambiental. Esto reduce las restricciones normativas asociadas, favoreciendo su potencial desarrollo.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285490" cy="3285490"/>
                  <wp:effectExtent l="0" t="0" r="0" b="0"/>
                  <wp:docPr id="39"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6"/>
                          <pic:cNvPicPr>
                            <a:picLocks noChangeAspect="1" noChangeArrowheads="1"/>
                          </pic:cNvPicPr>
                        </pic:nvPicPr>
                        <pic:blipFill>
                          <a:blip r:embed="rId38"/>
                          <a:stretch>
                            <a:fillRect/>
                          </a:stretch>
                        </pic:blipFill>
                        <pic:spPr bwMode="auto">
                          <a:xfrm>
                            <a:off x="0" y="0"/>
                            <a:ext cx="3285490" cy="3285490"/>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666875" cy="305435"/>
                  <wp:effectExtent l="0" t="0" r="0" b="0"/>
                  <wp:docPr id="40"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7"/>
                          <pic:cNvPicPr>
                            <a:picLocks noChangeAspect="1" noChangeArrowheads="1"/>
                          </pic:cNvPicPr>
                        </pic:nvPicPr>
                        <pic:blipFill>
                          <a:blip r:embed="rId39"/>
                          <a:stretch>
                            <a:fillRect/>
                          </a:stretch>
                        </pic:blipFill>
                        <pic:spPr bwMode="auto">
                          <a:xfrm>
                            <a:off x="0" y="0"/>
                            <a:ext cx="1666875" cy="305435"/>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41"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8"/>
                          <pic:cNvPicPr>
                            <a:picLocks noChangeAspect="1" noChangeArrowheads="1"/>
                          </pic:cNvPicPr>
                        </pic:nvPicPr>
                        <pic:blipFill>
                          <a:blip r:embed="rId40"/>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de Espacios Naturales Protegidos próximas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92" w:name="__RefHeading___Toc1337_3003605631"/>
      <w:bookmarkStart w:id="93" w:name="_Toc232044933"/>
      <w:bookmarkStart w:id="94" w:name="_Toc183517969"/>
      <w:bookmarkStart w:id="95" w:name="_Toc232044962"/>
      <w:bookmarkStart w:id="96" w:name="_Toc232058887"/>
      <w:bookmarkEnd w:id="92"/>
      <w:r>
        <w:rPr/>
        <w:t>Otros hábitats naturales</w:t>
      </w:r>
      <w:bookmarkEnd w:id="93"/>
      <w:bookmarkEnd w:id="94"/>
      <w:bookmarkEnd w:id="95"/>
      <w:bookmarkEnd w:id="96"/>
    </w:p>
    <w:p>
      <w:pPr>
        <w:pStyle w:val="ListParagraph"/>
        <w:spacing w:before="115" w:after="187"/>
        <w:rPr/>
      </w:pPr>
      <w:r>
        <w:rPr/>
        <w:t xml:space="preserve">En relación con otros hábitats naturales, </w:t>
      </w:r>
      <w:r>
        <w:rPr>
          <w:b/>
          <w:bCs/>
        </w:rPr>
        <w:t>no se han identificado afecciones importantes derivadas del desarrollo del proyecto</w:t>
      </w:r>
      <w:r>
        <w:rPr/>
        <w:t>, según las evaluaciones realizadas hasta el momento y considerando la información disponible a nivel estatal y autonómico. La parcela no se encuentra en áreas protegidas ni en zonas con hábitats de especial sensibilidad reconocidos oficialmente, lo que minimiza el impacto del proyecto sobre la biodiversidad y los ecosistemas presentes en su entorno.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966"/>
        <w:gridCol w:w="3672"/>
      </w:tblGrid>
      <w:tr>
        <w:trPr>
          <w:cantSplit w:val="true"/>
        </w:trPr>
        <w:tc>
          <w:tcPr>
            <w:tcW w:w="5966" w:type="dxa"/>
            <w:vMerge w:val="restart"/>
            <w:tcBorders>
              <w:top w:val="single" w:sz="4" w:space="0" w:color="CCCCCC"/>
              <w:left w:val="single" w:sz="4" w:space="0" w:color="CCCCCC"/>
              <w:bottom w:val="single" w:sz="4" w:space="0" w:color="CCCCCC"/>
            </w:tcBorders>
            <w:vAlign w:val="center"/>
          </w:tcPr>
          <w:p>
            <w:pPr>
              <w:pStyle w:val="tabla"/>
              <w:keepNext w:val="true"/>
              <w:spacing w:before="0" w:after="0"/>
              <w:rPr/>
            </w:pPr>
            <w:r>
              <w:rPr/>
              <w:drawing>
                <wp:inline distT="0" distB="0" distL="0" distR="0">
                  <wp:extent cx="3618865" cy="3618865"/>
                  <wp:effectExtent l="0" t="0" r="0" b="0"/>
                  <wp:docPr id="42"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9"/>
                          <pic:cNvPicPr>
                            <a:picLocks noChangeAspect="1" noChangeArrowheads="1"/>
                          </pic:cNvPicPr>
                        </pic:nvPicPr>
                        <pic:blipFill>
                          <a:blip r:embed="rId41"/>
                          <a:stretch>
                            <a:fillRect/>
                          </a:stretch>
                        </pic:blipFill>
                        <pic:spPr bwMode="auto">
                          <a:xfrm>
                            <a:off x="0" y="0"/>
                            <a:ext cx="3618865" cy="3618865"/>
                          </a:xfrm>
                          <a:prstGeom prst="rect">
                            <a:avLst/>
                          </a:prstGeom>
                          <a:noFill/>
                        </pic:spPr>
                      </pic:pic>
                    </a:graphicData>
                  </a:graphic>
                </wp:inline>
              </w:drawing>
            </w:r>
          </w:p>
        </w:tc>
        <w:tc>
          <w:tcPr>
            <w:tcW w:w="3672"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966" w:type="dxa"/>
            <w:vMerge w:val="continue"/>
            <w:tcBorders>
              <w:left w:val="single" w:sz="4" w:space="0" w:color="CCCCCC"/>
              <w:bottom w:val="single" w:sz="4" w:space="0" w:color="CCCCCC"/>
            </w:tcBorders>
            <w:shd w:color="auto" w:fill="4DA24E" w:val="clear"/>
          </w:tcPr>
          <w:p>
            <w:pPr>
              <w:pStyle w:val="tabla"/>
              <w:keepNext w:val="true"/>
              <w:overflowPunct w:val="false"/>
              <w:spacing w:before="170" w:after="113"/>
              <w:ind w:hanging="0" w:left="170"/>
              <w:jc w:val="left"/>
              <w:rPr/>
            </w:pPr>
            <w:r>
              <w:rPr/>
            </w:r>
          </w:p>
        </w:tc>
        <w:tc>
          <w:tcPr>
            <w:tcW w:w="3672" w:type="dxa"/>
            <w:tcBorders>
              <w:left w:val="single" w:sz="4" w:space="0" w:color="CCCCCC"/>
              <w:bottom w:val="single" w:sz="4" w:space="0" w:color="CCCCCC"/>
              <w:right w:val="single" w:sz="4" w:space="0" w:color="CCCCCC"/>
            </w:tcBorders>
          </w:tcPr>
          <w:p>
            <w:pPr>
              <w:pStyle w:val="tabla"/>
              <w:overflowPunct w:val="false"/>
              <w:spacing w:before="113" w:after="113"/>
              <w:ind w:hanging="0" w:left="170"/>
              <w:jc w:val="left"/>
              <w:rPr/>
            </w:pPr>
            <w:r>
              <w:rPr/>
              <w:drawing>
                <wp:inline distT="0" distB="0" distL="0" distR="0">
                  <wp:extent cx="2000250" cy="1084580"/>
                  <wp:effectExtent l="0" t="0" r="0" b="0"/>
                  <wp:docPr id="43"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0"/>
                          <pic:cNvPicPr>
                            <a:picLocks noChangeAspect="1" noChangeArrowheads="1"/>
                          </pic:cNvPicPr>
                        </pic:nvPicPr>
                        <pic:blipFill>
                          <a:blip r:embed="rId42"/>
                          <a:stretch>
                            <a:fillRect/>
                          </a:stretch>
                        </pic:blipFill>
                        <pic:spPr bwMode="auto">
                          <a:xfrm>
                            <a:off x="0" y="0"/>
                            <a:ext cx="2000250" cy="1084580"/>
                          </a:xfrm>
                          <a:prstGeom prst="rect">
                            <a:avLst/>
                          </a:prstGeom>
                          <a:noFill/>
                        </pic:spPr>
                      </pic:pic>
                    </a:graphicData>
                  </a:graphic>
                </wp:inline>
              </w:drawing>
            </w:r>
          </w:p>
        </w:tc>
      </w:tr>
      <w:tr>
        <w:trPr>
          <w:trHeight w:val="1722" w:hRule="atLeast"/>
          <w:cantSplit w:val="true"/>
        </w:trPr>
        <w:tc>
          <w:tcPr>
            <w:tcW w:w="5966"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3672"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190750" cy="2190750"/>
                  <wp:effectExtent l="0" t="0" r="0" b="0"/>
                  <wp:docPr id="44"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1"/>
                          <pic:cNvPicPr>
                            <a:picLocks noChangeAspect="1" noChangeArrowheads="1"/>
                          </pic:cNvPicPr>
                        </pic:nvPicPr>
                        <pic:blipFill>
                          <a:blip r:embed="rId43"/>
                          <a:stretch>
                            <a:fillRect/>
                          </a:stretch>
                        </pic:blipFill>
                        <pic:spPr bwMode="auto">
                          <a:xfrm>
                            <a:off x="0" y="0"/>
                            <a:ext cx="2190750" cy="219075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de Espacios Naturales Protegidos próximas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97" w:name="__RefHeading___Toc1339_3003605631"/>
      <w:bookmarkStart w:id="98" w:name="_Toc232044963"/>
      <w:bookmarkStart w:id="99" w:name="_Toc232058888"/>
      <w:bookmarkStart w:id="100" w:name="_Toc232044934"/>
      <w:bookmarkStart w:id="101" w:name="_Toc183517970"/>
      <w:bookmarkEnd w:id="97"/>
      <w:r>
        <w:rPr/>
        <w:t>Superficie forestal</w:t>
      </w:r>
      <w:bookmarkEnd w:id="98"/>
      <w:bookmarkEnd w:id="99"/>
      <w:bookmarkEnd w:id="100"/>
      <w:bookmarkEnd w:id="101"/>
    </w:p>
    <w:p>
      <w:pPr>
        <w:pStyle w:val="ListParagraph"/>
        <w:spacing w:before="115" w:after="187"/>
        <w:rPr>
          <w:color w:val="000000"/>
        </w:rPr>
      </w:pPr>
      <w:r>
        <w:rPr/>
        <w:t xml:space="preserve">Según el </w:t>
      </w:r>
      <w:r>
        <w:rPr>
          <w:b/>
          <w:bCs/>
        </w:rPr>
        <w:t>Mapa Forestal de España</w:t>
      </w:r>
      <w:r>
        <w:rPr/>
        <w:t xml:space="preserve">, la parcela </w:t>
      </w:r>
      <w:r>
        <w:rPr>
          <w:b/>
          <w:bCs/>
        </w:rPr>
        <w:t>no se encuentra en una zona de arbolado, arbolado ralo o arbolado disperso</w:t>
      </w:r>
      <w:r>
        <w:rPr/>
        <w:t xml:space="preserve">, lo que reduce las posibles restricciones y afecciones derivadas de la presencia de </w:t>
      </w:r>
      <w:r>
        <w:rPr>
          <w:b/>
          <w:bCs/>
        </w:rPr>
        <w:t>masa forestal</w:t>
      </w:r>
      <w:r>
        <w:rPr/>
        <w:t xml:space="preserve">. En principio, se trata de una </w:t>
      </w:r>
      <w:r>
        <w:rPr>
          <w:b/>
          <w:bCs/>
        </w:rPr>
        <w:t>señal favorable</w:t>
      </w:r>
      <w:r>
        <w:rPr/>
        <w:t xml:space="preserve"> para el desarrollo de proyectos de biometano desde el punto de vista forestal, sin perjuicio de la valoración conjunta del resto de condicionantes aplicables.</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285490" cy="3285490"/>
                  <wp:effectExtent l="0" t="0" r="0" b="0"/>
                  <wp:docPr id="45"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2"/>
                          <pic:cNvPicPr>
                            <a:picLocks noChangeAspect="1" noChangeArrowheads="1"/>
                          </pic:cNvPicPr>
                        </pic:nvPicPr>
                        <pic:blipFill>
                          <a:blip r:embed="rId44"/>
                          <a:stretch>
                            <a:fillRect/>
                          </a:stretch>
                        </pic:blipFill>
                        <pic:spPr bwMode="auto">
                          <a:xfrm>
                            <a:off x="0" y="0"/>
                            <a:ext cx="3285490" cy="3285490"/>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428750" cy="414020"/>
                  <wp:effectExtent l="0" t="0" r="0" b="0"/>
                  <wp:docPr id="46"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
                          <pic:cNvPicPr>
                            <a:picLocks noChangeAspect="1" noChangeArrowheads="1"/>
                          </pic:cNvPicPr>
                        </pic:nvPicPr>
                        <pic:blipFill>
                          <a:blip r:embed="rId45"/>
                          <a:stretch>
                            <a:fillRect/>
                          </a:stretch>
                        </pic:blipFill>
                        <pic:spPr bwMode="auto">
                          <a:xfrm>
                            <a:off x="0" y="0"/>
                            <a:ext cx="1428750" cy="414020"/>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47"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4"/>
                          <pic:cNvPicPr>
                            <a:picLocks noChangeAspect="1" noChangeArrowheads="1"/>
                          </pic:cNvPicPr>
                        </pic:nvPicPr>
                        <pic:blipFill>
                          <a:blip r:embed="rId46"/>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de arbolado próximas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102" w:name="__RefHeading___Toc1341_3003605631"/>
      <w:bookmarkStart w:id="103" w:name="_Toc232044935"/>
      <w:bookmarkStart w:id="104" w:name="_Toc183517973"/>
      <w:bookmarkStart w:id="105" w:name="_Toc232044964"/>
      <w:bookmarkStart w:id="106" w:name="_Toc232058889"/>
      <w:bookmarkEnd w:id="102"/>
      <w:r>
        <w:rPr/>
        <w:t>Hidrografía</w:t>
      </w:r>
      <w:bookmarkEnd w:id="103"/>
      <w:bookmarkEnd w:id="104"/>
      <w:bookmarkEnd w:id="105"/>
      <w:bookmarkEnd w:id="106"/>
    </w:p>
    <w:p>
      <w:pPr>
        <w:pStyle w:val="ListParagraph"/>
        <w:spacing w:before="115" w:after="187"/>
        <w:rPr/>
      </w:pPr>
      <w:r>
        <w:rPr>
          <w:b/>
          <w:bCs/>
        </w:rPr>
        <w:t>La parcela objeto del presente estudio no parece presentar afecciones hidrológicas significativas</w:t>
      </w:r>
      <w:r>
        <w:rPr/>
        <w:t xml:space="preserve">, ya que no se encuentra cerca de cauces de ríos principales, sobre </w:t>
      </w:r>
      <w:r>
        <w:rPr>
          <w:b/>
          <w:bCs/>
        </w:rPr>
        <w:t>acuíferos</w:t>
      </w:r>
      <w:r>
        <w:rPr/>
        <w:t xml:space="preserve"> importantes, en proximidad a humedales, ni dentro de zonas de flujo preferente. Esta situación reduce el riesgo de impacto sobre recursos hídricos y minimiza las restricciones relacionadas con la hidrología en la planificación del proyecto de biometano.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776"/>
        <w:gridCol w:w="3862"/>
      </w:tblGrid>
      <w:tr>
        <w:trPr>
          <w:cantSplit w:val="true"/>
        </w:trPr>
        <w:tc>
          <w:tcPr>
            <w:tcW w:w="5776"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523615" cy="3523615"/>
                  <wp:effectExtent l="0" t="0" r="0" b="0"/>
                  <wp:docPr id="48" name="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5"/>
                          <pic:cNvPicPr>
                            <a:picLocks noChangeAspect="1" noChangeArrowheads="1"/>
                          </pic:cNvPicPr>
                        </pic:nvPicPr>
                        <pic:blipFill>
                          <a:blip r:embed="rId47"/>
                          <a:stretch>
                            <a:fillRect/>
                          </a:stretch>
                        </pic:blipFill>
                        <pic:spPr bwMode="auto">
                          <a:xfrm>
                            <a:off x="0" y="0"/>
                            <a:ext cx="3523615" cy="3523615"/>
                          </a:xfrm>
                          <a:prstGeom prst="rect">
                            <a:avLst/>
                          </a:prstGeom>
                          <a:noFill/>
                        </pic:spPr>
                      </pic:pic>
                    </a:graphicData>
                  </a:graphic>
                </wp:inline>
              </w:drawing>
            </w:r>
          </w:p>
        </w:tc>
        <w:tc>
          <w:tcPr>
            <w:tcW w:w="3862"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776"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3862" w:type="dxa"/>
            <w:tcBorders>
              <w:left w:val="single" w:sz="4" w:space="0" w:color="CCCCCC"/>
              <w:bottom w:val="single" w:sz="4" w:space="0" w:color="CCCCCC"/>
              <w:right w:val="single" w:sz="4" w:space="0" w:color="CCCCCC"/>
            </w:tcBorders>
          </w:tcPr>
          <w:p>
            <w:pPr>
              <w:pStyle w:val="tabla"/>
              <w:spacing w:before="170" w:after="57"/>
              <w:ind w:hanging="0" w:left="170"/>
              <w:jc w:val="left"/>
              <w:rPr/>
            </w:pPr>
            <w:r>
              <w:rPr/>
              <w:drawing>
                <wp:inline distT="0" distB="0" distL="0" distR="0">
                  <wp:extent cx="1524000" cy="819150"/>
                  <wp:effectExtent l="0" t="0" r="0" b="0"/>
                  <wp:docPr id="49"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6"/>
                          <pic:cNvPicPr>
                            <a:picLocks noChangeAspect="1" noChangeArrowheads="1"/>
                          </pic:cNvPicPr>
                        </pic:nvPicPr>
                        <pic:blipFill>
                          <a:blip r:embed="rId48"/>
                          <a:stretch>
                            <a:fillRect/>
                          </a:stretch>
                        </pic:blipFill>
                        <pic:spPr bwMode="auto">
                          <a:xfrm>
                            <a:off x="0" y="0"/>
                            <a:ext cx="1524000" cy="819150"/>
                          </a:xfrm>
                          <a:prstGeom prst="rect">
                            <a:avLst/>
                          </a:prstGeom>
                          <a:noFill/>
                        </pic:spPr>
                      </pic:pic>
                    </a:graphicData>
                  </a:graphic>
                </wp:inline>
              </w:drawing>
            </w:r>
          </w:p>
        </w:tc>
      </w:tr>
      <w:tr>
        <w:trPr>
          <w:trHeight w:val="1722" w:hRule="atLeast"/>
          <w:cantSplit w:val="true"/>
        </w:trPr>
        <w:tc>
          <w:tcPr>
            <w:tcW w:w="5776"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3862"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50"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7"/>
                          <pic:cNvPicPr>
                            <a:picLocks noChangeAspect="1" noChangeArrowheads="1"/>
                          </pic:cNvPicPr>
                        </pic:nvPicPr>
                        <pic:blipFill>
                          <a:blip r:embed="rId49"/>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Elementos hidrológicos próximos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107" w:name="__RefHeading___Toc1343_3003605631"/>
      <w:bookmarkStart w:id="108" w:name="_Toc183517974"/>
      <w:bookmarkStart w:id="109" w:name="_Toc232044936"/>
      <w:bookmarkStart w:id="110" w:name="_Toc232044965"/>
      <w:bookmarkStart w:id="111" w:name="_Toc232058890"/>
      <w:bookmarkEnd w:id="107"/>
      <w:r>
        <w:rPr/>
        <w:t>Zonas inundables</w:t>
      </w:r>
      <w:bookmarkEnd w:id="108"/>
      <w:bookmarkEnd w:id="109"/>
      <w:bookmarkEnd w:id="110"/>
      <w:bookmarkEnd w:id="111"/>
    </w:p>
    <w:p>
      <w:pPr>
        <w:pStyle w:val="ListParagraph"/>
        <w:spacing w:before="115" w:after="187"/>
        <w:rPr/>
      </w:pPr>
      <w:r>
        <w:rPr>
          <w:b/>
          <w:bCs/>
        </w:rPr>
        <w:t>La parcela no se encuentra en zonas inundables según nuestro análisis</w:t>
      </w:r>
      <w:r>
        <w:rPr/>
        <w:t>, que considera los modelos oficiales de inundación con periodos de retorno de 10, 50, 100 y 500 años, basados en estudios hidrológicos, hidráulicos y geomorfológico-históricos del Sistema Nacional de Cartografía de Zonas Inundables (SNCZI).</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57" w:after="57"/>
              <w:rPr/>
            </w:pPr>
            <w:r>
              <w:rPr/>
              <w:drawing>
                <wp:inline distT="0" distB="0" distL="0" distR="0">
                  <wp:extent cx="3381375" cy="3381375"/>
                  <wp:effectExtent l="0" t="0" r="0" b="0"/>
                  <wp:docPr id="51"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8"/>
                          <pic:cNvPicPr>
                            <a:picLocks noChangeAspect="1" noChangeArrowheads="1"/>
                          </pic:cNvPicPr>
                        </pic:nvPicPr>
                        <pic:blipFill>
                          <a:blip r:embed="rId50"/>
                          <a:stretch>
                            <a:fillRect/>
                          </a:stretch>
                        </pic:blipFill>
                        <pic:spPr bwMode="auto">
                          <a:xfrm>
                            <a:off x="0" y="0"/>
                            <a:ext cx="3381375" cy="3381375"/>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57"/>
              <w:ind w:hanging="0" w:left="170"/>
              <w:jc w:val="left"/>
              <w:rPr/>
            </w:pPr>
            <w:r>
              <w:rPr/>
              <w:drawing>
                <wp:inline distT="0" distB="0" distL="0" distR="0">
                  <wp:extent cx="1381125" cy="703580"/>
                  <wp:effectExtent l="0" t="0" r="0" b="0"/>
                  <wp:docPr id="52"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9"/>
                          <pic:cNvPicPr>
                            <a:picLocks noChangeAspect="1" noChangeArrowheads="1"/>
                          </pic:cNvPicPr>
                        </pic:nvPicPr>
                        <pic:blipFill>
                          <a:blip r:embed="rId51"/>
                          <a:stretch>
                            <a:fillRect/>
                          </a:stretch>
                        </pic:blipFill>
                        <pic:spPr bwMode="auto">
                          <a:xfrm>
                            <a:off x="0" y="0"/>
                            <a:ext cx="1381125" cy="703580"/>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53"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0"/>
                          <pic:cNvPicPr>
                            <a:picLocks noChangeAspect="1" noChangeArrowheads="1"/>
                          </pic:cNvPicPr>
                        </pic:nvPicPr>
                        <pic:blipFill>
                          <a:blip r:embed="rId52"/>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inundables próximos a la parcela</w:t>
            </w:r>
          </w:p>
        </w:tc>
      </w:tr>
    </w:tbl>
    <w:p>
      <w:pPr>
        <w:pStyle w:val="Heading2"/>
        <w:numPr>
          <w:ilvl w:val="0"/>
          <w:numId w:val="0"/>
        </w:numPr>
        <w:ind w:hanging="0" w:left="576"/>
        <w:rPr/>
      </w:pPr>
      <w:r>
        <w:rPr/>
      </w:r>
      <w:r>
        <w:br w:type="page"/>
      </w:r>
    </w:p>
    <w:p>
      <w:pPr>
        <w:pStyle w:val="Heading2"/>
        <w:spacing w:before="0" w:after="240"/>
        <w:ind w:hanging="578" w:left="578"/>
        <w:contextualSpacing/>
        <w:rPr/>
      </w:pPr>
      <w:bookmarkStart w:id="112" w:name="__RefHeading___Toc1345_3003605631"/>
      <w:bookmarkStart w:id="113" w:name="_Toc232044966"/>
      <w:bookmarkStart w:id="114" w:name="_Toc232044937"/>
      <w:bookmarkStart w:id="115" w:name="_Toc232058891"/>
      <w:bookmarkStart w:id="116" w:name="_Toc183517972"/>
      <w:bookmarkEnd w:id="112"/>
      <w:r>
        <w:rPr/>
        <w:t>Características agrológicas y ganaderas del terreno</w:t>
      </w:r>
      <w:bookmarkEnd w:id="113"/>
      <w:bookmarkEnd w:id="114"/>
      <w:bookmarkEnd w:id="115"/>
      <w:bookmarkEnd w:id="116"/>
    </w:p>
    <w:p>
      <w:pPr>
        <w:pStyle w:val="ListParagraph"/>
        <w:rPr/>
      </w:pPr>
      <w:r>
        <w:rPr>
          <w:b/>
          <w:bCs/>
        </w:rPr>
        <w:t>La parcela no se ve afectada por la presencia de vías pecuarias</w:t>
      </w:r>
      <w:r>
        <w:rPr/>
        <w:t>, rutas legalmente protegidas destinadas al tránsito ganadero. Esto elimina restricciones adicionales y permite mayor flexibilidad para su desarrollo.</w:t>
      </w:r>
    </w:p>
    <w:p>
      <w:pPr>
        <w:pStyle w:val="BodyText"/>
        <w:ind w:hanging="0" w:left="0"/>
        <w:jc w:val="both"/>
        <w:rPr/>
      </w:pPr>
      <w:r>
        <w:rPr>
          <w:b/>
          <w:bCs/>
        </w:rPr>
        <w:t>La parcela presenta intersección directa con una zona de cultivo según el Mapa Forestal de España</w:t>
      </w:r>
      <w:r>
        <w:rPr/>
        <w:t>.</w:t>
      </w:r>
    </w:p>
    <w:p>
      <w:pPr>
        <w:pStyle w:val="BodyText"/>
        <w:ind w:hanging="0" w:left="0"/>
        <w:jc w:val="both"/>
        <w:rPr/>
      </w:pPr>
      <w:r>
        <w:rPr/>
        <w:t>En proyectos de biometano, esta afección no implica por sí sola una incompatibilidad, pero conviene revisar la capacidad agrológica, la productividad del terreno y, cuando sea posible, el tipo de cultivo afectado para valorar la compatibilidad del emplazamiento.</w:t>
      </w:r>
    </w:p>
    <w:p>
      <w:pPr>
        <w:pStyle w:val="ListParagraph"/>
        <w:spacing w:before="115" w:after="187"/>
        <w:rPr/>
      </w:pPr>
      <w:r>
        <w:rPr/>
        <w:t>Según SIOSE, la cobertura predominante identificada en la parcela corresponde a viñedo (~</w:t>
      </w:r>
      <w:r>
        <w:rPr>
          <w:b/>
          <w:bCs/>
        </w:rPr>
        <w:t>72,2%</w:t>
      </w:r>
      <w:r>
        <w:rPr/>
        <w:t xml:space="preserve"> de la superficie parcelaria). Este tipo de cultivo leñoso suele indicar un aprovechamiento agrario consolidado, por lo que conviene revisar con detalle la compatibilidad de la parcela para proyectos de biometano.</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333115" cy="3333115"/>
                  <wp:effectExtent l="0" t="0" r="0" b="0"/>
                  <wp:docPr id="54" name="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1"/>
                          <pic:cNvPicPr>
                            <a:picLocks noChangeAspect="1" noChangeArrowheads="1"/>
                          </pic:cNvPicPr>
                        </pic:nvPicPr>
                        <pic:blipFill>
                          <a:blip r:embed="rId53"/>
                          <a:stretch>
                            <a:fillRect/>
                          </a:stretch>
                        </pic:blipFill>
                        <pic:spPr bwMode="auto">
                          <a:xfrm>
                            <a:off x="0" y="0"/>
                            <a:ext cx="3333115" cy="3333115"/>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905000" cy="532765"/>
                  <wp:effectExtent l="0" t="0" r="0" b="0"/>
                  <wp:docPr id="55" name="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2"/>
                          <pic:cNvPicPr>
                            <a:picLocks noChangeAspect="1" noChangeArrowheads="1"/>
                          </pic:cNvPicPr>
                        </pic:nvPicPr>
                        <pic:blipFill>
                          <a:blip r:embed="rId54"/>
                          <a:stretch>
                            <a:fillRect/>
                          </a:stretch>
                        </pic:blipFill>
                        <pic:spPr bwMode="auto">
                          <a:xfrm>
                            <a:off x="0" y="0"/>
                            <a:ext cx="1905000" cy="532765"/>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56" name="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
                          <pic:cNvPicPr>
                            <a:picLocks noChangeAspect="1" noChangeArrowheads="1"/>
                          </pic:cNvPicPr>
                        </pic:nvPicPr>
                        <pic:blipFill>
                          <a:blip r:embed="rId55"/>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con valor agrológico próximas a la parcela</w:t>
            </w:r>
          </w:p>
        </w:tc>
      </w:tr>
    </w:tbl>
    <w:p>
      <w:pPr>
        <w:pStyle w:val="Heading2"/>
        <w:numPr>
          <w:ilvl w:val="0"/>
          <w:numId w:val="0"/>
        </w:numPr>
        <w:spacing w:lineRule="auto" w:line="300"/>
        <w:ind w:hanging="737" w:left="907"/>
        <w:rPr/>
      </w:pPr>
      <w:r>
        <w:rPr/>
      </w:r>
      <w:r>
        <w:br w:type="page"/>
      </w:r>
    </w:p>
    <w:p>
      <w:pPr>
        <w:pStyle w:val="Heading2"/>
        <w:spacing w:before="0" w:after="240"/>
        <w:ind w:hanging="578" w:left="578"/>
        <w:contextualSpacing/>
        <w:rPr/>
      </w:pPr>
      <w:bookmarkStart w:id="117" w:name="__RefHeading___Toc1347_3003605631"/>
      <w:bookmarkStart w:id="118" w:name="_Toc232044967"/>
      <w:bookmarkStart w:id="119" w:name="_Toc232058892"/>
      <w:bookmarkStart w:id="120" w:name="_Toc232044938"/>
      <w:bookmarkStart w:id="121" w:name="_Toc183517972_Copy_1"/>
      <w:bookmarkEnd w:id="117"/>
      <w:r>
        <w:rPr/>
        <w:t>C</w:t>
      </w:r>
      <w:bookmarkEnd w:id="121"/>
      <w:r>
        <w:rPr/>
        <w:t>ondicionantes de patrimonio cultural</w:t>
      </w:r>
      <w:bookmarkEnd w:id="118"/>
      <w:bookmarkEnd w:id="119"/>
      <w:bookmarkEnd w:id="120"/>
    </w:p>
    <w:p>
      <w:pPr>
        <w:pStyle w:val="BodyText"/>
        <w:spacing w:before="115" w:after="187"/>
        <w:ind w:hanging="0" w:left="0"/>
        <w:jc w:val="both"/>
        <w:rPr>
          <w:color w:val="000000"/>
        </w:rPr>
      </w:pPr>
      <w:r>
        <w:rPr>
          <w:color w:val="000000"/>
        </w:rPr>
        <w:t>En cuanto a zonas de patrimonio cultural que pueden dificultar el desarrollo de este tipo de proyectos, se han tenido en cuenta yacimientos, castillos, monumentos y otros bienes de interés cultural protegidos por normativa estatal y autonómica.</w:t>
      </w:r>
    </w:p>
    <w:p>
      <w:pPr>
        <w:pStyle w:val="BodyText"/>
        <w:spacing w:before="115" w:after="187"/>
        <w:ind w:hanging="0" w:left="0"/>
        <w:jc w:val="both"/>
        <w:rPr>
          <w:color w:val="000000"/>
        </w:rPr>
      </w:pPr>
      <w:r>
        <w:rPr>
          <w:color w:val="000000"/>
        </w:rPr>
        <w:t xml:space="preserve">Tras el análisis realizado, se confirma que la parcela </w:t>
      </w:r>
      <w:r>
        <w:rPr>
          <w:b/>
          <w:bCs/>
          <w:color w:val="000000"/>
        </w:rPr>
        <w:t>no presenta afecciones por patrimonio cultural</w:t>
      </w:r>
      <w:r>
        <w:rPr>
          <w:color w:val="000000"/>
        </w:rPr>
        <w:t xml:space="preserve">, </w:t>
      </w:r>
      <w:r>
        <w:rPr>
          <w:b/>
          <w:bCs/>
          <w:color w:val="000000"/>
        </w:rPr>
        <w:t>no existiendo intersección con elementos protegidos</w:t>
      </w:r>
      <w:r>
        <w:rPr>
          <w:color w:val="000000"/>
        </w:rPr>
        <w:t xml:space="preserve"> ni habiéndose identificado construcciones o elementos con valor cultural significativo en la propia parcela ni en un radio de </w:t>
      </w:r>
      <w:r>
        <w:rPr>
          <w:b/>
          <w:bCs/>
          <w:color w:val="000000"/>
        </w:rPr>
        <w:t>1000 metros</w:t>
      </w:r>
      <w:r>
        <w:rPr>
          <w:color w:val="000000"/>
        </w:rPr>
        <w:t>.</w:t>
      </w:r>
    </w:p>
    <w:tbl>
      <w:tblPr>
        <w:tblW w:w="5000" w:type="pct"/>
        <w:jc w:val="center"/>
        <w:tblInd w:w="0" w:type="dxa"/>
        <w:tblLayout w:type="fixed"/>
        <w:tblCellMar>
          <w:top w:w="0" w:type="dxa"/>
          <w:left w:w="5" w:type="dxa"/>
          <w:bottom w:w="0" w:type="dxa"/>
          <w:right w:w="0" w:type="dxa"/>
        </w:tblCellMar>
        <w:tblLook w:val="04a0" w:noHBand="0" w:noVBand="1" w:firstColumn="1" w:lastRow="0" w:lastColumn="0" w:firstRow="1"/>
      </w:tblPr>
      <w:tblGrid>
        <w:gridCol w:w="5588"/>
        <w:gridCol w:w="4050"/>
      </w:tblGrid>
      <w:tr>
        <w:trPr>
          <w:cantSplit w:val="true"/>
        </w:trPr>
        <w:tc>
          <w:tcPr>
            <w:tcW w:w="5588" w:type="dxa"/>
            <w:vMerge w:val="restart"/>
            <w:tcBorders>
              <w:top w:val="single" w:sz="4" w:space="0" w:color="CCCCCC"/>
              <w:left w:val="single" w:sz="4" w:space="0" w:color="CCCCCC"/>
              <w:bottom w:val="single" w:sz="4" w:space="0" w:color="CCCCCC"/>
            </w:tcBorders>
            <w:vAlign w:val="center"/>
          </w:tcPr>
          <w:p>
            <w:pPr>
              <w:pStyle w:val="tabla"/>
              <w:keepNext w:val="true"/>
              <w:spacing w:before="113" w:after="57"/>
              <w:rPr/>
            </w:pPr>
            <w:r>
              <w:rPr/>
              <w:drawing>
                <wp:inline distT="0" distB="0" distL="0" distR="0">
                  <wp:extent cx="3381375" cy="3381375"/>
                  <wp:effectExtent l="0" t="0" r="0" b="0"/>
                  <wp:docPr id="57" name="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4"/>
                          <pic:cNvPicPr>
                            <a:picLocks noChangeAspect="1" noChangeArrowheads="1"/>
                          </pic:cNvPicPr>
                        </pic:nvPicPr>
                        <pic:blipFill>
                          <a:blip r:embed="rId56"/>
                          <a:stretch>
                            <a:fillRect/>
                          </a:stretch>
                        </pic:blipFill>
                        <pic:spPr bwMode="auto">
                          <a:xfrm>
                            <a:off x="0" y="0"/>
                            <a:ext cx="3381375" cy="3381375"/>
                          </a:xfrm>
                          <a:prstGeom prst="rect">
                            <a:avLst/>
                          </a:prstGeom>
                          <a:noFill/>
                        </pic:spPr>
                      </pic:pic>
                    </a:graphicData>
                  </a:graphic>
                </wp:inline>
              </w:drawing>
            </w:r>
          </w:p>
        </w:tc>
        <w:tc>
          <w:tcPr>
            <w:tcW w:w="4050" w:type="dxa"/>
            <w:tcBorders>
              <w:top w:val="single" w:sz="4" w:space="0" w:color="CCCCCC"/>
              <w:left w:val="single" w:sz="4" w:space="0" w:color="CCCCCC"/>
              <w:bottom w:val="single" w:sz="4" w:space="0" w:color="CCCCCC"/>
              <w:right w:val="single" w:sz="4" w:space="0" w:color="CCCCCC"/>
            </w:tcBorders>
            <w:shd w:color="auto" w:fill="DDEFDD" w:val="clear"/>
          </w:tcPr>
          <w:p>
            <w:pPr>
              <w:pStyle w:val="tabla"/>
              <w:spacing w:before="120" w:after="120"/>
              <w:rPr>
                <w:b/>
                <w:bCs/>
              </w:rPr>
            </w:pPr>
            <w:r>
              <w:rPr>
                <w:b/>
                <w:bCs/>
              </w:rPr>
              <w:t>LEYENDA</w:t>
            </w:r>
          </w:p>
        </w:tc>
      </w:tr>
      <w:tr>
        <w:trPr>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70" w:after="113"/>
              <w:ind w:hanging="0" w:left="170"/>
              <w:jc w:val="left"/>
              <w:rPr/>
            </w:pPr>
            <w:r>
              <w:rPr/>
            </w:r>
          </w:p>
        </w:tc>
        <w:tc>
          <w:tcPr>
            <w:tcW w:w="4050" w:type="dxa"/>
            <w:tcBorders>
              <w:left w:val="single" w:sz="4" w:space="0" w:color="CCCCCC"/>
              <w:bottom w:val="single" w:sz="4" w:space="0" w:color="CCCCCC"/>
              <w:right w:val="single" w:sz="4" w:space="0" w:color="CCCCCC"/>
            </w:tcBorders>
          </w:tcPr>
          <w:p>
            <w:pPr>
              <w:pStyle w:val="tabla"/>
              <w:spacing w:before="170" w:after="113"/>
              <w:ind w:hanging="0" w:left="170"/>
              <w:jc w:val="left"/>
              <w:rPr/>
            </w:pPr>
            <w:r>
              <w:rPr/>
              <w:drawing>
                <wp:inline distT="0" distB="0" distL="0" distR="0">
                  <wp:extent cx="1381125" cy="429260"/>
                  <wp:effectExtent l="0" t="0" r="0" b="0"/>
                  <wp:docPr id="58" name="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5"/>
                          <pic:cNvPicPr>
                            <a:picLocks noChangeAspect="1" noChangeArrowheads="1"/>
                          </pic:cNvPicPr>
                        </pic:nvPicPr>
                        <pic:blipFill>
                          <a:blip r:embed="rId57"/>
                          <a:stretch>
                            <a:fillRect/>
                          </a:stretch>
                        </pic:blipFill>
                        <pic:spPr bwMode="auto">
                          <a:xfrm>
                            <a:off x="0" y="0"/>
                            <a:ext cx="1381125" cy="429260"/>
                          </a:xfrm>
                          <a:prstGeom prst="rect">
                            <a:avLst/>
                          </a:prstGeom>
                          <a:noFill/>
                        </pic:spPr>
                      </pic:pic>
                    </a:graphicData>
                  </a:graphic>
                </wp:inline>
              </w:drawing>
            </w:r>
          </w:p>
        </w:tc>
      </w:tr>
      <w:tr>
        <w:trPr>
          <w:trHeight w:val="1722" w:hRule="atLeast"/>
          <w:cantSplit w:val="true"/>
        </w:trPr>
        <w:tc>
          <w:tcPr>
            <w:tcW w:w="5588" w:type="dxa"/>
            <w:vMerge w:val="continue"/>
            <w:tcBorders>
              <w:left w:val="single" w:sz="4" w:space="0" w:color="CCCCCC"/>
              <w:bottom w:val="single" w:sz="4" w:space="0" w:color="CCCCCC"/>
            </w:tcBorders>
            <w:shd w:color="auto" w:fill="4DA24E" w:val="clear"/>
          </w:tcPr>
          <w:p>
            <w:pPr>
              <w:pStyle w:val="tabla"/>
              <w:keepNext w:val="true"/>
              <w:spacing w:before="113" w:after="57"/>
              <w:rPr/>
            </w:pPr>
            <w:r>
              <w:rPr/>
            </w:r>
          </w:p>
        </w:tc>
        <w:tc>
          <w:tcPr>
            <w:tcW w:w="4050" w:type="dxa"/>
            <w:tcBorders>
              <w:left w:val="single" w:sz="4" w:space="0" w:color="CCCCCC"/>
              <w:bottom w:val="single" w:sz="4" w:space="0" w:color="CCCCCC"/>
              <w:right w:val="single" w:sz="4" w:space="0" w:color="CCCCCC"/>
            </w:tcBorders>
            <w:vAlign w:val="center"/>
          </w:tcPr>
          <w:p>
            <w:pPr>
              <w:pStyle w:val="tabla"/>
              <w:spacing w:before="113" w:after="57"/>
              <w:rPr/>
            </w:pPr>
            <w:r>
              <w:rPr/>
              <w:drawing>
                <wp:inline distT="0" distB="0" distL="0" distR="0">
                  <wp:extent cx="2332990" cy="2332990"/>
                  <wp:effectExtent l="0" t="0" r="0" b="0"/>
                  <wp:docPr id="59" name="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6"/>
                          <pic:cNvPicPr>
                            <a:picLocks noChangeAspect="1" noChangeArrowheads="1"/>
                          </pic:cNvPicPr>
                        </pic:nvPicPr>
                        <pic:blipFill>
                          <a:blip r:embed="rId58"/>
                          <a:stretch>
                            <a:fillRect/>
                          </a:stretch>
                        </pic:blipFill>
                        <pic:spPr bwMode="auto">
                          <a:xfrm>
                            <a:off x="0" y="0"/>
                            <a:ext cx="2332990" cy="2332990"/>
                          </a:xfrm>
                          <a:prstGeom prst="rect">
                            <a:avLst/>
                          </a:prstGeom>
                          <a:noFill/>
                        </pic:spPr>
                      </pic:pic>
                    </a:graphicData>
                  </a:graphic>
                </wp:inline>
              </w:drawing>
            </w:r>
          </w:p>
        </w:tc>
      </w:tr>
      <w:tr>
        <w:trPr>
          <w:trHeight w:val="450" w:hRule="atLeast"/>
          <w:cantSplit w:val="true"/>
        </w:trPr>
        <w:tc>
          <w:tcPr>
            <w:tcW w:w="9638" w:type="dxa"/>
            <w:gridSpan w:val="2"/>
            <w:tcBorders>
              <w:left w:val="single" w:sz="4" w:space="0" w:color="CCCCCC"/>
              <w:bottom w:val="single" w:sz="4" w:space="0" w:color="CCCCCC"/>
              <w:right w:val="single" w:sz="4" w:space="0" w:color="CCCCCC"/>
            </w:tcBorders>
            <w:shd w:color="auto" w:fill="FDF9E9" w:val="clear"/>
          </w:tcPr>
          <w:p>
            <w:pPr>
              <w:pStyle w:val="tabla"/>
              <w:spacing w:before="120" w:after="120"/>
              <w:rPr>
                <w:color w:val="000000"/>
                <w:sz w:val="16"/>
                <w:szCs w:val="16"/>
              </w:rPr>
            </w:pPr>
            <w:r>
              <w:rPr>
                <w:i/>
                <w:iCs/>
              </w:rPr>
              <w:t>Zonas con valor cultural próximas a la parcela</w:t>
            </w:r>
          </w:p>
        </w:tc>
      </w:tr>
    </w:tbl>
    <w:p>
      <w:pPr>
        <w:pStyle w:val="Heading2"/>
        <w:numPr>
          <w:ilvl w:val="0"/>
          <w:numId w:val="0"/>
        </w:numPr>
        <w:spacing w:lineRule="auto" w:line="300"/>
        <w:ind w:hanging="737" w:left="907"/>
        <w:rPr/>
      </w:pPr>
      <w:r>
        <w:rPr/>
      </w:r>
    </w:p>
    <w:p>
      <w:pPr>
        <w:pStyle w:val="Heading1"/>
        <w:numPr>
          <w:ilvl w:val="0"/>
          <w:numId w:val="0"/>
        </w:numPr>
        <w:ind w:hanging="0" w:left="432"/>
        <w:rPr/>
      </w:pPr>
      <w:r>
        <w:rPr/>
      </w:r>
      <w:r>
        <w:br w:type="page"/>
      </w:r>
    </w:p>
    <w:p>
      <w:pPr>
        <w:pStyle w:val="Heading1"/>
        <w:spacing w:before="0" w:after="360"/>
        <w:ind w:hanging="567" w:left="567"/>
        <w:rPr/>
      </w:pPr>
      <w:bookmarkStart w:id="122" w:name="__RefHeading___Toc1349_3003605631"/>
      <w:bookmarkStart w:id="123" w:name="_Toc232044968"/>
      <w:bookmarkStart w:id="124" w:name="_Toc232044939"/>
      <w:bookmarkStart w:id="125" w:name="_Toc232058893"/>
      <w:bookmarkEnd w:id="122"/>
      <w:r>
        <w:rPr/>
        <w:t>Medidas preventivas, compensatorias y correctivas</w:t>
      </w:r>
      <w:bookmarkEnd w:id="123"/>
      <w:bookmarkEnd w:id="124"/>
      <w:bookmarkEnd w:id="125"/>
    </w:p>
    <w:p>
      <w:pPr>
        <w:pStyle w:val="ListParagraph"/>
        <w:spacing w:before="115" w:after="187"/>
        <w:rPr/>
      </w:pPr>
      <w:r>
        <w:rPr/>
        <w:t>En caso de que el emplazamiento se considere adecuado para el desarrollo del proyecto, se recomienda adoptar una serie de medidas preventivas, correctivas y compensatorias orientadas a minimizar los posibles condicionantes e impactos que pudieran derivarse de su ejecución. Estas medidas deberán contemplarse desde la fase de diseño inicial de la planta.</w:t>
      </w:r>
    </w:p>
    <w:tbl>
      <w:tblPr>
        <w:tblW w:w="5000" w:type="pct"/>
        <w:jc w:val="center"/>
        <w:tblInd w:w="0" w:type="dxa"/>
        <w:tblLayout w:type="fixed"/>
        <w:tblCellMar>
          <w:top w:w="0" w:type="dxa"/>
          <w:left w:w="58" w:type="dxa"/>
          <w:bottom w:w="0" w:type="dxa"/>
          <w:right w:w="58" w:type="dxa"/>
        </w:tblCellMar>
        <w:tblLook w:val="04a0" w:noHBand="0" w:noVBand="1" w:firstColumn="1" w:lastRow="0" w:lastColumn="0" w:firstRow="1"/>
      </w:tblPr>
      <w:tblGrid>
        <w:gridCol w:w="2955"/>
        <w:gridCol w:w="6683"/>
      </w:tblGrid>
      <w:tr>
        <w:trPr>
          <w:trHeight w:val="505" w:hRule="atLeast"/>
        </w:trPr>
        <w:tc>
          <w:tcPr>
            <w:tcW w:w="2955" w:type="dxa"/>
            <w:tcBorders>
              <w:top w:val="single" w:sz="4" w:space="0" w:color="BFBFBF"/>
              <w:left w:val="single" w:sz="4" w:space="0" w:color="BFBFBF"/>
              <w:bottom w:val="single" w:sz="4" w:space="0" w:color="BFBFBF"/>
            </w:tcBorders>
            <w:shd w:color="auto" w:fill="DDEFDD" w:val="clear"/>
            <w:vAlign w:val="center"/>
          </w:tcPr>
          <w:p>
            <w:pPr>
              <w:pStyle w:val="tabla"/>
              <w:spacing w:before="120" w:after="120"/>
              <w:rPr>
                <w:b/>
              </w:rPr>
            </w:pPr>
            <w:r>
              <w:rPr>
                <w:b/>
              </w:rPr>
              <w:t>TIPOLOGÍA</w:t>
            </w:r>
          </w:p>
        </w:tc>
        <w:tc>
          <w:tcPr>
            <w:tcW w:w="6683" w:type="dxa"/>
            <w:tcBorders>
              <w:top w:val="single" w:sz="4" w:space="0" w:color="BFBFBF"/>
              <w:left w:val="single" w:sz="4" w:space="0" w:color="BFBFBF"/>
              <w:bottom w:val="single" w:sz="4" w:space="0" w:color="BFBFBF"/>
              <w:right w:val="single" w:sz="4" w:space="0" w:color="BFBFBF"/>
            </w:tcBorders>
            <w:shd w:color="auto" w:fill="DDEFDD" w:val="clear"/>
            <w:vAlign w:val="center"/>
          </w:tcPr>
          <w:p>
            <w:pPr>
              <w:pStyle w:val="tabla"/>
              <w:spacing w:before="120" w:after="120"/>
              <w:rPr>
                <w:b/>
              </w:rPr>
            </w:pPr>
            <w:sdt>
              <w:sdtPr>
                <w:tag w:val="goog_rdk_8"/>
                <w:id w:val="-943995774"/>
              </w:sdtPr>
              <w:sdtContent>
                <w:r>
                  <w:rPr/>
                </w:r>
                <w:r>
                  <w:rPr/>
                </w:r>
              </w:sdtContent>
            </w:sdt>
            <w:r>
              <w:rPr>
                <w:b/>
              </w:rPr>
              <w:t>MEDIDA</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Preventiva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Utilizar superficie con condicionantes urbanísticos o ambiental (del total del terreno) para la implantación de medidas compensatorias y correctivas</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Preventiva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Impulsar los estudios ambientales previos con objeto de entender cualquier tipo de riesgo existente minimizando el impacto producido a través de medidas compensatorias y correctivas</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Compensatoria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Establecer superficies con vegetación dentro del terreno disponible para que actúen como corredores y refugios de fauna</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Compensatoria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Fomentar el crecimiento de vegetación herbácea y autóctona en toda la instalación, excepto en caminos y áreas específicas</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Compensatoria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Plantar especies nativas y compensar cualquier área afectada por la construcción de la planta</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Compensatoria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Adición de pantallas vegetales para mejorar para mejorar la integración visual o paisajística del proyecto y reducir la afección acústica</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Correctiva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Respetar la morfología del terreno minimizando los movimientos de tierras, evitando pavimentar el suelo</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Correctiva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Utilizar un vallado cinegético que permita el paso de la fauna, minimizando el impacto visual</w:t>
            </w:r>
          </w:p>
        </w:tc>
      </w:tr>
      <w:tr>
        <w:trPr/>
        <w:tc>
          <w:tcPr>
            <w:tcW w:w="2955" w:type="dxa"/>
            <w:tcBorders>
              <w:left w:val="single" w:sz="4" w:space="0" w:color="BFBFBF"/>
              <w:bottom w:val="single" w:sz="4" w:space="0" w:color="BFBFBF"/>
            </w:tcBorders>
            <w:vAlign w:val="center"/>
          </w:tcPr>
          <w:p>
            <w:pPr>
              <w:pStyle w:val="tabla"/>
              <w:spacing w:before="120" w:after="120"/>
              <w:rPr>
                <w:color w:val="000000"/>
              </w:rPr>
            </w:pPr>
            <w:r>
              <w:rPr>
                <w:color w:val="000000"/>
              </w:rPr>
              <w:t>Correctiva</w:t>
            </w:r>
          </w:p>
        </w:tc>
        <w:tc>
          <w:tcPr>
            <w:tcW w:w="6683" w:type="dxa"/>
            <w:tcBorders>
              <w:left w:val="single" w:sz="4" w:space="0" w:color="BFBFBF"/>
              <w:bottom w:val="single" w:sz="4" w:space="0" w:color="BFBFBF"/>
              <w:right w:val="single" w:sz="4" w:space="0" w:color="BFBFBF"/>
            </w:tcBorders>
            <w:vAlign w:val="center"/>
          </w:tcPr>
          <w:p>
            <w:pPr>
              <w:pStyle w:val="tabla"/>
              <w:spacing w:before="120" w:after="120"/>
              <w:rPr>
                <w:color w:val="000000"/>
              </w:rPr>
            </w:pPr>
            <w:r>
              <w:rPr>
                <w:color w:val="000000"/>
              </w:rPr>
              <w:t>Diseñar la instalación maximizando que las líneas de evacuación sean subterráneas</w:t>
            </w:r>
          </w:p>
        </w:tc>
      </w:tr>
    </w:tbl>
    <w:p>
      <w:pPr>
        <w:pStyle w:val="Normal"/>
        <w:spacing w:before="120" w:after="240"/>
        <w:rPr>
          <w:rFonts w:ascii="Times New Roman" w:hAnsi="Times New Roman"/>
          <w:sz w:val="24"/>
          <w:u w:val="single"/>
        </w:rPr>
      </w:pPr>
      <w:r>
        <w:rPr>
          <w:rFonts w:ascii="Times New Roman" w:hAnsi="Times New Roman"/>
          <w:sz w:val="24"/>
          <w:u w:val="single"/>
        </w:rPr>
      </w:r>
      <w:r>
        <w:br w:type="page"/>
      </w:r>
    </w:p>
    <w:p>
      <w:pPr>
        <w:pStyle w:val="Heading1"/>
        <w:spacing w:before="0" w:after="360"/>
        <w:ind w:hanging="567" w:left="567"/>
        <w:rPr/>
      </w:pPr>
      <w:bookmarkStart w:id="126" w:name="__RefHeading___Toc1351_3003605631"/>
      <w:bookmarkStart w:id="127" w:name="_Toc232044940"/>
      <w:bookmarkStart w:id="128" w:name="_Toc232044969"/>
      <w:bookmarkStart w:id="129" w:name="_Toc232058894"/>
      <w:bookmarkStart w:id="130" w:name="_Toc183517961_Copy_1"/>
      <w:bookmarkEnd w:id="126"/>
      <w:r>
        <w:rPr/>
        <w:t>R</w:t>
      </w:r>
      <w:bookmarkEnd w:id="130"/>
      <w:r>
        <w:rPr/>
        <w:t>esiduo próximo a la parcela</w:t>
      </w:r>
      <w:bookmarkEnd w:id="127"/>
      <w:bookmarkEnd w:id="128"/>
      <w:bookmarkEnd w:id="129"/>
    </w:p>
    <w:p>
      <w:pPr>
        <w:pStyle w:val="ListParagraph"/>
        <w:rPr/>
      </w:pPr>
      <w:r>
        <w:rPr>
          <w:b/>
          <w:bCs/>
        </w:rPr>
        <w:t>Se han identificado 57 explotaciones agroganaderas en un radio de 80 km</w:t>
      </w:r>
      <w:r>
        <w:rPr/>
        <w:t>. El potencial total estimado de biometano es de 1.011.917 m³/año.</w:t>
      </w:r>
    </w:p>
    <w:p>
      <w:pPr>
        <w:pStyle w:val="ListParagraph"/>
        <w:spacing w:before="115" w:after="187"/>
        <w:rPr/>
      </w:pPr>
      <w:r>
        <w:rPr/>
        <w:t xml:space="preserve">El análisis de suministro de materia prima en un radio de </w:t>
      </w:r>
      <w:r>
        <w:rPr>
          <w:b/>
          <w:bCs/>
        </w:rPr>
        <w:t>80 km</w:t>
      </w:r>
      <w:r>
        <w:rPr/>
        <w:t xml:space="preserve"> permite identificar el potencial de generación de biometano en la zona. La disponibilidad de residuos agroganaderos es un factor clave para la viabilidad técnica y económica de la planta.</w:t>
      </w:r>
    </w:p>
    <w:tbl>
      <w:tblPr>
        <w:tblW w:w="961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835"/>
        <w:gridCol w:w="2924"/>
        <w:gridCol w:w="1904"/>
        <w:gridCol w:w="1953"/>
      </w:tblGrid>
      <w:tr>
        <w:trPr>
          <w:trHeight w:val="502" w:hRule="atLeast"/>
        </w:trPr>
        <w:tc>
          <w:tcPr>
            <w:tcW w:w="2835" w:type="dxa"/>
            <w:tcBorders>
              <w:top w:val="single" w:sz="4" w:space="0" w:color="999999"/>
              <w:left w:val="single" w:sz="4" w:space="0" w:color="999999"/>
              <w:bottom w:val="single" w:sz="4" w:space="0" w:color="999999"/>
            </w:tcBorders>
            <w:shd w:color="auto" w:fill="DDEFDD" w:val="clear"/>
            <w:vAlign w:val="center"/>
          </w:tcPr>
          <w:p>
            <w:pPr>
              <w:pStyle w:val="tabla"/>
              <w:spacing w:before="120" w:after="120"/>
              <w:rPr>
                <w:b/>
                <w:bCs/>
              </w:rPr>
            </w:pPr>
            <w:r>
              <w:rPr>
                <w:b/>
                <w:bCs/>
              </w:rPr>
              <w:t>NOMBRE</w:t>
            </w:r>
          </w:p>
        </w:tc>
        <w:tc>
          <w:tcPr>
            <w:tcW w:w="2924" w:type="dxa"/>
            <w:tcBorders>
              <w:top w:val="single" w:sz="4" w:space="0" w:color="999999"/>
              <w:left w:val="single" w:sz="4" w:space="0" w:color="999999"/>
              <w:bottom w:val="single" w:sz="4" w:space="0" w:color="999999"/>
            </w:tcBorders>
            <w:shd w:color="auto" w:fill="DDEFDD" w:val="clear"/>
            <w:vAlign w:val="center"/>
          </w:tcPr>
          <w:p>
            <w:pPr>
              <w:pStyle w:val="tabla"/>
              <w:spacing w:before="120" w:after="120"/>
              <w:rPr>
                <w:b/>
                <w:bCs/>
              </w:rPr>
            </w:pPr>
            <w:r>
              <w:rPr>
                <w:b/>
                <w:bCs/>
              </w:rPr>
              <w:t>CLASIFICACIÓN</w:t>
            </w:r>
          </w:p>
        </w:tc>
        <w:tc>
          <w:tcPr>
            <w:tcW w:w="1904" w:type="dxa"/>
            <w:tcBorders>
              <w:top w:val="single" w:sz="4" w:space="0" w:color="999999"/>
              <w:left w:val="single" w:sz="4" w:space="0" w:color="999999"/>
              <w:bottom w:val="single" w:sz="4" w:space="0" w:color="999999"/>
            </w:tcBorders>
            <w:shd w:color="auto" w:fill="DDEFDD" w:val="clear"/>
            <w:vAlign w:val="center"/>
          </w:tcPr>
          <w:p>
            <w:pPr>
              <w:pStyle w:val="tabla"/>
              <w:spacing w:before="120" w:after="120"/>
              <w:rPr>
                <w:b/>
                <w:bCs/>
              </w:rPr>
            </w:pPr>
            <w:r>
              <w:rPr>
                <w:b/>
                <w:bCs/>
              </w:rPr>
              <w:t>DISTANCIA</w:t>
            </w:r>
          </w:p>
        </w:tc>
        <w:tc>
          <w:tcPr>
            <w:tcW w:w="1953" w:type="dxa"/>
            <w:tcBorders>
              <w:top w:val="single" w:sz="4" w:space="0" w:color="999999"/>
              <w:left w:val="single" w:sz="4" w:space="0" w:color="999999"/>
              <w:bottom w:val="single" w:sz="4" w:space="0" w:color="999999"/>
              <w:right w:val="single" w:sz="4" w:space="0" w:color="999999"/>
            </w:tcBorders>
            <w:shd w:color="auto" w:fill="DDEFDD" w:val="clear"/>
            <w:vAlign w:val="center"/>
          </w:tcPr>
          <w:p>
            <w:pPr>
              <w:pStyle w:val="tabla"/>
              <w:spacing w:before="120" w:after="120"/>
              <w:rPr>
                <w:b/>
                <w:bCs/>
              </w:rPr>
            </w:pPr>
            <w:r>
              <w:rPr>
                <w:b/>
                <w:bCs/>
              </w:rPr>
              <w:t>SUMINISTRO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Gonlo Inversiones,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13.3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Explotación Agraria G.t. C.b.</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22.9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Ercapu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23.2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Becerra Ponce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25.4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0.0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Maria Del Rosario Real Pérez-juana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26.2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ángel Guijarro Cano</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26.8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Ricardo López Cabañas</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27.5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Jesús Cano Villamayor</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0.0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Avicola Dorado,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29.6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G.c. Hijos De Felipe Serna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31.6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Juan Rullo Sanchez</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31.8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Julian Moraleda Rodríguez</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31.8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Explotaciones Puerto Vallehermoso S.a.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35.9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Anastasio Sevilla Cano</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38.1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Ceboporc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40.3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Granja Avícola San Antonio S.l, Ii (aai-to-100)</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40.7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Agropecuariamigueletes, S. L. (toboso)</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42.7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Versan Avícola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Sánchez Tembleque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Golden Eggs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Miguel ángel Lopez Serrano</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Recría De Ganado Testado S.l. (regates) (aai-to-113)</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Granjas Caballero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Gonagu,s.l.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43.8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Ganados El Jarillo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Explotación Porcina De Cerdas Y Lechones Hasta 20 Kg.</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44.1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Dionisia Rodríguez, C.b.</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44.4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Agropecuariamigueletes, S.l. (miguel Esteban)</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44.5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Avícola Olivares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44.8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Avícola Naver,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45.3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Integraciones Porcinas El Campillo,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50.2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Avicola Dorado, S. 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50.9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Ibericos Vallehermoso,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Aviman Explotaciones Ganaderas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51.2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Instalación De Porcino De Cebo De 7.200 Plazas</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Orthigo, S.a.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52.3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Cebaderos Viver, Espj</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53.8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Julian Mendoza Muñoz</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55.5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Es451750000025 Explotacion Porcina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58.1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Recría De Ganado Testado S.l. Paraje La Mata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58.4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Granja Avícola San Antonio S.a. I (aai-to-099)</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58.6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Granja Avícola San Antonio (iii)</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59.4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Pecuaria Orgaz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60.6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Javier Mora Jiménez (centro Orgaz)</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62.5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0.0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Javier Mora Jiménez</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62.9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Carnicería Rangún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Alcázar Mancebo,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68.1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Aai-to-342</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69.5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Santísimo Cristo De Los Milagros S.l.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69.7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Explotación Porcina Monte El Bosco (exporinsa)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70.6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Juan ángel López Rosado Martín</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Productos Del Cigüela, S. 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74.4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El Canto Agroalimentaria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40,000 aves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75.1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1.460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Overban Consultores S. L.</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75.2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Explotación Porcina Monte De Belen (exporinsa)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75.5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Ampilación De La Capacidad De 1840 A 3680 Plazas De Cebo</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2,000 cerdos de producción)</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79.8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5.840 t/año</w:t>
            </w:r>
          </w:p>
        </w:tc>
      </w:tr>
      <w:tr>
        <w:trPr>
          <w:cantSplit w:val="true"/>
        </w:trPr>
        <w:tc>
          <w:tcPr>
            <w:tcW w:w="2835" w:type="dxa"/>
            <w:tcBorders>
              <w:left w:val="single" w:sz="4" w:space="0" w:color="999999"/>
              <w:bottom w:val="single" w:sz="4" w:space="0" w:color="999999"/>
            </w:tcBorders>
            <w:vAlign w:val="center"/>
          </w:tcPr>
          <w:p>
            <w:pPr>
              <w:pStyle w:val="tabla"/>
              <w:spacing w:before="120" w:after="120"/>
              <w:rPr>
                <w:szCs w:val="20"/>
              </w:rPr>
            </w:pPr>
            <w:r>
              <w:rPr>
                <w:b/>
                <w:bCs/>
              </w:rPr>
              <w:t>Explotación Porcina "monte El Pilar" (exporinsa)</w:t>
            </w:r>
          </w:p>
        </w:tc>
        <w:tc>
          <w:tcPr>
            <w:tcW w:w="2924" w:type="dxa"/>
            <w:tcBorders>
              <w:left w:val="single" w:sz="4" w:space="0" w:color="999999"/>
              <w:bottom w:val="single" w:sz="4" w:space="0" w:color="999999"/>
            </w:tcBorders>
            <w:vAlign w:val="center"/>
          </w:tcPr>
          <w:p>
            <w:pPr>
              <w:pStyle w:val="tabla"/>
              <w:spacing w:before="120" w:after="120"/>
              <w:rPr>
                <w:szCs w:val="20"/>
              </w:rPr>
            </w:pPr>
            <w:r>
              <w:rPr>
                <w:szCs w:val="20"/>
              </w:rPr>
              <w:t>Granja intensiva (más de 750 cerdas reproductoras)</w:t>
            </w:r>
          </w:p>
        </w:tc>
        <w:tc>
          <w:tcPr>
            <w:tcW w:w="1904" w:type="dxa"/>
            <w:tcBorders>
              <w:left w:val="single" w:sz="4" w:space="0" w:color="999999"/>
              <w:bottom w:val="single" w:sz="4" w:space="0" w:color="999999"/>
            </w:tcBorders>
            <w:vAlign w:val="center"/>
          </w:tcPr>
          <w:p>
            <w:pPr>
              <w:pStyle w:val="tabla"/>
              <w:spacing w:before="120" w:after="120"/>
              <w:rPr>
                <w:szCs w:val="20"/>
              </w:rPr>
            </w:pPr>
            <w:r>
              <w:rPr>
                <w:szCs w:val="20"/>
              </w:rPr>
              <w:t>79.9 km</w:t>
            </w:r>
          </w:p>
        </w:tc>
        <w:tc>
          <w:tcPr>
            <w:tcW w:w="1953" w:type="dxa"/>
            <w:tcBorders>
              <w:left w:val="single" w:sz="4" w:space="0" w:color="999999"/>
              <w:bottom w:val="single" w:sz="4" w:space="0" w:color="999999"/>
              <w:right w:val="single" w:sz="4" w:space="0" w:color="999999"/>
            </w:tcBorders>
            <w:vAlign w:val="center"/>
          </w:tcPr>
          <w:p>
            <w:pPr>
              <w:pStyle w:val="tabla"/>
              <w:spacing w:lineRule="auto" w:line="240" w:before="120" w:after="120"/>
              <w:ind w:hanging="0"/>
              <w:jc w:val="center"/>
              <w:rPr/>
            </w:pPr>
            <w:r>
              <w:rPr/>
              <w:t>2.738 t/año</w:t>
            </w:r>
          </w:p>
        </w:tc>
      </w:tr>
    </w:tbl>
    <w:p>
      <w:pPr>
        <w:pStyle w:val="Normal"/>
        <w:spacing w:before="360" w:after="240"/>
        <w:ind w:hanging="0"/>
        <w:jc w:val="left"/>
        <w:rPr/>
      </w:pPr>
      <w:r>
        <w:rPr/>
      </w:r>
    </w:p>
    <w:sectPr>
      <w:headerReference w:type="even" r:id="rId59"/>
      <w:headerReference w:type="default" r:id="rId60"/>
      <w:headerReference w:type="first" r:id="rId61"/>
      <w:footerReference w:type="even" r:id="rId62"/>
      <w:footerReference w:type="default" r:id="rId63"/>
      <w:footerReference w:type="first" r:id="rId64"/>
      <w:type w:val="nextPage"/>
      <w:pgSz w:w="11906" w:h="16838"/>
      <w:pgMar w:left="1134" w:right="1134" w:gutter="0" w:header="1304" w:top="1362" w:footer="340" w:bottom="1410"/>
      <w:pgNumType w:start="0"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Times New Roman">
    <w:charset w:val="01"/>
    <w:family w:val="roman"/>
    <w:pitch w:val="variable"/>
  </w:font>
  <w:font w:name="Calibri Light">
    <w:charset w:val="01"/>
    <w:family w:val="roman"/>
    <w:pitch w:val="variable"/>
  </w:font>
  <w:font w:name="Courier New">
    <w:charset w:val="01"/>
    <w:family w:val="roman"/>
    <w:pitch w:val="variable"/>
  </w:font>
  <w:font w:name="Segoe UI">
    <w:charset w:val="01"/>
    <w:family w:val="roman"/>
    <w:pitch w:val="variable"/>
  </w:font>
  <w:font w:name="OpenSymbol">
    <w:altName w:val="Arial Unicode MS"/>
    <w:charset w:val="01"/>
    <w:family w:val="roman"/>
    <w:pitch w:val="variable"/>
  </w:font>
  <w:font w:name="Liberation Mono">
    <w:altName w:val="Courier New"/>
    <w:charset w:val="01"/>
    <w:family w:val="roman"/>
    <w:pitch w:val="variable"/>
  </w:font>
  <w:font w:name="Liberation Sans">
    <w:altName w:val="Arial"/>
    <w:charset w:val="01"/>
    <w:family w:val="roman"/>
    <w:pitch w:val="variable"/>
  </w:font>
  <w:font w:name="Cambria">
    <w:charset w:val="01"/>
    <w:family w:val="roman"/>
    <w:pitch w:val="variable"/>
  </w:font>
  <w:font w:name="Bahnschrift SemiBold SemiConden">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ind w:hanging="0"/>
      <w:rPr/>
    </w:pPr>
    <w:r>
      <w:rPr/>
      <w:drawing>
        <wp:anchor behindDoc="1" distT="0" distB="0" distL="114300" distR="114300" simplePos="0" locked="0" layoutInCell="0" allowOverlap="1" relativeHeight="87">
          <wp:simplePos x="0" y="0"/>
          <wp:positionH relativeFrom="margin">
            <wp:posOffset>-466725</wp:posOffset>
          </wp:positionH>
          <wp:positionV relativeFrom="paragraph">
            <wp:posOffset>-127000</wp:posOffset>
          </wp:positionV>
          <wp:extent cx="1955800" cy="403225"/>
          <wp:effectExtent l="0" t="0" r="0" b="0"/>
          <wp:wrapTopAndBottom/>
          <wp:docPr id="60" name="Imagen 3 Copy 1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3 Copy 1 Copy 1 Copy 1 Copy 1 Copy 1"/>
                  <pic:cNvPicPr>
                    <a:picLocks noChangeAspect="1" noChangeArrowheads="1"/>
                  </pic:cNvPicPr>
                </pic:nvPicPr>
                <pic:blipFill>
                  <a:blip r:embed="rId1"/>
                  <a:stretch>
                    <a:fillRect/>
                  </a:stretch>
                </pic:blipFill>
                <pic:spPr bwMode="auto">
                  <a:xfrm>
                    <a:off x="0" y="0"/>
                    <a:ext cx="1955800" cy="403225"/>
                  </a:xfrm>
                  <a:prstGeom prst="rect">
                    <a:avLst/>
                  </a:prstGeom>
                  <a:noFill/>
                </pic:spPr>
              </pic:pic>
            </a:graphicData>
          </a:graphic>
        </wp:anchor>
      </w:drawing>
      <mc:AlternateContent>
        <mc:Choice Requires="wps">
          <w:drawing>
            <wp:anchor behindDoc="1" distT="0" distB="635" distL="635" distR="635" simplePos="0" locked="0" layoutInCell="0" allowOverlap="1" relativeHeight="146">
              <wp:simplePos x="0" y="0"/>
              <wp:positionH relativeFrom="page">
                <wp:posOffset>6562725</wp:posOffset>
              </wp:positionH>
              <wp:positionV relativeFrom="page">
                <wp:posOffset>9791065</wp:posOffset>
              </wp:positionV>
              <wp:extent cx="986155" cy="895350"/>
              <wp:effectExtent l="635" t="0" r="635" b="635"/>
              <wp:wrapNone/>
              <wp:docPr id="61" name="Triángulo isósceles 6"/>
              <a:graphic xmlns:a="http://schemas.openxmlformats.org/drawingml/2006/main">
                <a:graphicData uri="http://schemas.microsoft.com/office/word/2010/wordprocessingShape">
                  <wps:wsp>
                    <wps:cNvSpPr/>
                    <wps:spPr>
                      <a:xfrm>
                        <a:off x="0" y="0"/>
                        <a:ext cx="986040" cy="895320"/>
                      </a:xfrm>
                      <a:prstGeom prst="triangle">
                        <a:avLst>
                          <a:gd name="adj" fmla="val 100000"/>
                        </a:avLst>
                      </a:prstGeom>
                      <a:solidFill>
                        <a:srgbClr val="e2efd9"/>
                      </a:solidFill>
                      <a:ln w="0">
                        <a:noFill/>
                      </a:ln>
                    </wps:spPr>
                    <wps:style>
                      <a:lnRef idx="0"/>
                      <a:fillRef idx="0"/>
                      <a:effectRef idx="0"/>
                      <a:fontRef idx="minor"/>
                    </wps:style>
                    <wps:txbx>
                      <w:txbxContent>
                        <w:p>
                          <w:pPr>
                            <w:pStyle w:val="ListParagraph"/>
                            <w:spacing w:before="120" w:after="0"/>
                            <w:ind w:hanging="0" w:left="-113" w:right="-170"/>
                            <w:jc w:val="center"/>
                            <w:rPr>
                              <w:rFonts w:ascii="Bahnschrift SemiBold SemiConden" w:hAnsi="Bahnschrift SemiBold SemiConden"/>
                              <w:color w:themeColor="accent6" w:themeShade="bf" w:val="538135"/>
                              <w:sz w:val="32"/>
                              <w:szCs w:val="32"/>
                            </w:rPr>
                          </w:pPr>
                          <w:r>
                            <w:rPr>
                              <w:color w:val="000000"/>
                            </w:rPr>
                            <w:fldChar w:fldCharType="begin"/>
                          </w:r>
                          <w:r>
                            <w:rPr>
                              <w:color w:val="000000"/>
                            </w:rPr>
                            <w:instrText xml:space="preserve"> PAGE </w:instrText>
                          </w:r>
                          <w:r>
                            <w:rPr>
                              <w:color w:val="000000"/>
                            </w:rPr>
                            <w:fldChar w:fldCharType="separate"/>
                          </w:r>
                          <w:r>
                            <w:rPr>
                              <w:color w:val="000000"/>
                            </w:rPr>
                            <w:t>30</w:t>
                          </w:r>
                          <w:r>
                            <w:rPr>
                              <w:color w:val="000000"/>
                            </w:rPr>
                            <w:fldChar w:fldCharType="end"/>
                          </w:r>
                        </w:p>
                      </w:txbxContent>
                    </wps:txbx>
                    <wps:bodyPr anchor="t">
                      <a:noAutofit/>
                    </wps:bodyPr>
                  </wps:wsp>
                </a:graphicData>
              </a:graphic>
            </wp:anchor>
          </w:drawing>
        </mc:Choice>
        <mc:Fallback>
          <w:pict>
            <v:shapetype id="_x0000_t5" coordsize="21600,21600" o:spt="5" adj="10800" path="m,21600l@0,l21600,21600xe">
              <v:stroke joinstyle="miter"/>
              <v:formulas>
                <v:f eqn="val #0"/>
                <v:f eqn="prod 1 @0 2"/>
                <v:f eqn="sum @1 10800 0"/>
              </v:formulas>
              <v:path gradientshapeok="t" o:connecttype="rect" textboxrect="@1,10800,@2,21600"/>
              <v:handles>
                <v:h position="@0,0"/>
              </v:handles>
            </v:shapetype>
            <v:shape id="shape_0" path="l-2147483641,0l-2147483635,-2147483636xe" fillcolor="#e2efd9" stroked="f" o:allowincell="f" style="position:absolute;margin-left:516.75pt;margin-top:770.95pt;width:77.6pt;height:70.45pt;mso-wrap-style:square;v-text-anchor:top;mso-position-horizontal-relative:page;mso-position-vertical-relative:page" type="_x0000_t5">
              <v:fill o:detectmouseclick="t" type="solid" color2="#1d1026"/>
              <v:stroke color="#3465a4" joinstyle="round" endcap="flat"/>
              <v:textbox>
                <w:txbxContent>
                  <w:p>
                    <w:pPr>
                      <w:pStyle w:val="ListParagraph"/>
                      <w:spacing w:before="120" w:after="0"/>
                      <w:ind w:hanging="0" w:left="-113" w:right="-170"/>
                      <w:jc w:val="center"/>
                      <w:rPr>
                        <w:rFonts w:ascii="Bahnschrift SemiBold SemiConden" w:hAnsi="Bahnschrift SemiBold SemiConden"/>
                        <w:color w:themeColor="accent6" w:themeShade="bf" w:val="538135"/>
                        <w:sz w:val="32"/>
                        <w:szCs w:val="32"/>
                      </w:rPr>
                    </w:pPr>
                    <w:r>
                      <w:rPr>
                        <w:color w:val="000000"/>
                      </w:rPr>
                      <w:fldChar w:fldCharType="begin"/>
                    </w:r>
                    <w:r>
                      <w:rPr>
                        <w:color w:val="000000"/>
                      </w:rPr>
                      <w:instrText xml:space="preserve"> PAGE </w:instrText>
                    </w:r>
                    <w:r>
                      <w:rPr>
                        <w:color w:val="000000"/>
                      </w:rPr>
                      <w:fldChar w:fldCharType="separate"/>
                    </w:r>
                    <w:r>
                      <w:rPr>
                        <w:color w:val="000000"/>
                      </w:rPr>
                      <w:t>30</w:t>
                    </w:r>
                    <w:r>
                      <w:rPr>
                        <w:color w:val="000000"/>
                      </w:rPr>
                      <w:fldChar w:fldCharType="end"/>
                    </w:r>
                  </w:p>
                </w:txbxContent>
              </v:textbox>
              <w10:wrap type="none"/>
            </v:shap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240" w:before="120" w:after="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0"/>
      <w:ind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12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lvlText w:val="%1"/>
      <w:lvlJc w:val="left"/>
      <w:pPr>
        <w:tabs>
          <w:tab w:val="num" w:pos="0"/>
        </w:tabs>
        <w:ind w:left="432" w:hanging="432"/>
      </w:pPr>
      <w:rPr/>
    </w:lvl>
    <w:lvl w:ilvl="1">
      <w:start w:val="1"/>
      <w:numFmt w:val="decimal"/>
      <w:pStyle w:val="Heading2"/>
      <w:lvlText w:val="%1.%2"/>
      <w:lvlJc w:val="left"/>
      <w:pPr>
        <w:tabs>
          <w:tab w:val="num" w:pos="0"/>
        </w:tabs>
        <w:ind w:left="576" w:hanging="576"/>
      </w:pPr>
      <w:rPr/>
    </w:lvl>
    <w:lvl w:ilvl="2">
      <w:start w:val="1"/>
      <w:numFmt w:val="decimal"/>
      <w:pStyle w:val="Heading3"/>
      <w:lvlText w:val="%1.%2.%3"/>
      <w:lvlJc w:val="left"/>
      <w:pPr>
        <w:tabs>
          <w:tab w:val="num" w:pos="0"/>
        </w:tabs>
        <w:ind w:left="1854" w:hanging="720"/>
      </w:pPr>
      <w:rPr/>
    </w:lvl>
    <w:lvl w:ilvl="3">
      <w:start w:val="1"/>
      <w:numFmt w:val="decimal"/>
      <w:pStyle w:val="Heading4"/>
      <w:lvlText w:val="%1.%2.%3.%4"/>
      <w:lvlJc w:val="left"/>
      <w:pPr>
        <w:tabs>
          <w:tab w:val="num" w:pos="0"/>
        </w:tabs>
        <w:ind w:left="864" w:hanging="864"/>
      </w:pPr>
      <w:rPr/>
    </w:lvl>
    <w:lvl w:ilvl="4">
      <w:start w:val="1"/>
      <w:numFmt w:val="decimal"/>
      <w:pStyle w:val="Heading5"/>
      <w:lvlText w:val="%1.%2.%3.%4.%5"/>
      <w:lvlJc w:val="left"/>
      <w:pPr>
        <w:tabs>
          <w:tab w:val="num" w:pos="0"/>
        </w:tabs>
        <w:ind w:left="1008" w:hanging="1008"/>
      </w:pPr>
      <w:rPr/>
    </w:lvl>
    <w:lvl w:ilvl="5">
      <w:start w:val="1"/>
      <w:numFmt w:val="decimal"/>
      <w:pStyle w:val="Heading6"/>
      <w:lvlText w:val="%1.%2.%3.%4.%5.%6"/>
      <w:lvlJc w:val="left"/>
      <w:pPr>
        <w:tabs>
          <w:tab w:val="num" w:pos="0"/>
        </w:tabs>
        <w:ind w:left="1152" w:hanging="1152"/>
      </w:pPr>
      <w:rPr/>
    </w:lvl>
    <w:lvl w:ilvl="6">
      <w:start w:val="1"/>
      <w:numFmt w:val="decimal"/>
      <w:pStyle w:val="Heading7"/>
      <w:lvlText w:val="%1.%2.%3.%4.%5.%6.%7"/>
      <w:lvlJc w:val="left"/>
      <w:pPr>
        <w:tabs>
          <w:tab w:val="num" w:pos="0"/>
        </w:tabs>
        <w:ind w:left="1296" w:hanging="1296"/>
      </w:pPr>
      <w:rPr/>
    </w:lvl>
    <w:lvl w:ilvl="7">
      <w:start w:val="1"/>
      <w:numFmt w:val="decimal"/>
      <w:pStyle w:val="Heading8"/>
      <w:lvlText w:val="%1.%2.%3.%4.%5.%6.%7.%8"/>
      <w:lvlJc w:val="left"/>
      <w:pPr>
        <w:tabs>
          <w:tab w:val="num" w:pos="0"/>
        </w:tabs>
        <w:ind w:left="1440" w:hanging="1440"/>
      </w:pPr>
      <w:rPr/>
    </w:lvl>
    <w:lvl w:ilvl="8">
      <w:start w:val="1"/>
      <w:numFmt w:val="decimal"/>
      <w:lvlText w:val="%1.%2.%3.%4.%5.%6.%7.%8.%9"/>
      <w:lvlJc w:val="left"/>
      <w:pPr>
        <w:tabs>
          <w:tab w:val="num" w:pos="0"/>
        </w:tabs>
        <w:ind w:left="1584" w:hanging="1584"/>
      </w:pPr>
      <w:rPr/>
    </w:lvl>
  </w:abstractNum>
  <w:abstractNum w:abstractNumId="2">
    <w:lvl w:ilvl="0">
      <w:start w:val="1"/>
      <w:numFmt w:val="decimal"/>
      <w:lvlText w:val="%1"/>
      <w:lvlJc w:val="left"/>
      <w:pPr>
        <w:tabs>
          <w:tab w:val="num" w:pos="0"/>
        </w:tabs>
        <w:ind w:left="432" w:hanging="432"/>
      </w:pPr>
      <w:rPr/>
    </w:lvl>
    <w:lvl w:ilvl="1">
      <w:start w:val="1"/>
      <w:numFmt w:val="decimal"/>
      <w:lvlText w:val="%1.%2"/>
      <w:lvlJc w:val="left"/>
      <w:pPr>
        <w:tabs>
          <w:tab w:val="num" w:pos="0"/>
        </w:tabs>
        <w:ind w:left="576" w:hanging="576"/>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864" w:hanging="864"/>
      </w:pPr>
      <w:rPr/>
    </w:lvl>
    <w:lvl w:ilvl="4">
      <w:start w:val="1"/>
      <w:numFmt w:val="decimal"/>
      <w:lvlText w:val="%1.%2.%3.%4.%5"/>
      <w:lvlJc w:val="left"/>
      <w:pPr>
        <w:tabs>
          <w:tab w:val="num" w:pos="0"/>
        </w:tabs>
        <w:ind w:left="1008" w:hanging="1008"/>
      </w:pPr>
      <w:rPr/>
    </w:lvl>
    <w:lvl w:ilvl="5">
      <w:start w:val="1"/>
      <w:numFmt w:val="decimal"/>
      <w:lvlText w:val="%1.%2.%3.%4.%5.%6"/>
      <w:lvlJc w:val="left"/>
      <w:pPr>
        <w:tabs>
          <w:tab w:val="num" w:pos="0"/>
        </w:tabs>
        <w:ind w:left="1152" w:hanging="1152"/>
      </w:pPr>
      <w:rPr/>
    </w:lvl>
    <w:lvl w:ilvl="6">
      <w:start w:val="1"/>
      <w:numFmt w:val="decimal"/>
      <w:lvlText w:val="%1.%2.%3.%4.%5.%6.%7"/>
      <w:lvlJc w:val="left"/>
      <w:pPr>
        <w:tabs>
          <w:tab w:val="num" w:pos="0"/>
        </w:tabs>
        <w:ind w:left="1296" w:hanging="1296"/>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584" w:hanging="1584"/>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zh-CN"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Noto Sans Arabic UI"/>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uiPriority="0"/>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uiPriority="0"/>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120" w:after="0"/>
      <w:ind w:firstLine="340"/>
      <w:jc w:val="both"/>
    </w:pPr>
    <w:rPr>
      <w:rFonts w:ascii="Arial" w:hAnsi="Arial" w:eastAsia="Calibri" w:cs="Noto Sans Arabic UI"/>
      <w:color w:val="auto"/>
      <w:kern w:val="0"/>
      <w:sz w:val="20"/>
      <w:szCs w:val="22"/>
      <w:lang w:val="es-ES" w:eastAsia="en-US" w:bidi="ar-SA"/>
    </w:rPr>
  </w:style>
  <w:style w:type="paragraph" w:styleId="Heading1">
    <w:name w:val="heading 1"/>
    <w:basedOn w:val="Normal"/>
    <w:next w:val="Normal"/>
    <w:link w:val="Ttulo1Car"/>
    <w:autoRedefine/>
    <w:uiPriority w:val="9"/>
    <w:qFormat/>
    <w:pPr>
      <w:keepNext w:val="true"/>
      <w:keepLines/>
      <w:numPr>
        <w:ilvl w:val="0"/>
        <w:numId w:val="1"/>
      </w:numPr>
      <w:spacing w:lineRule="auto" w:line="240" w:before="0" w:after="360"/>
      <w:ind w:hanging="567" w:left="567"/>
      <w:outlineLvl w:val="0"/>
    </w:pPr>
    <w:rPr>
      <w:rFonts w:ascii="Times New Roman" w:hAnsi="Times New Roman"/>
      <w:b/>
      <w:caps/>
      <w:sz w:val="24"/>
      <w:szCs w:val="32"/>
    </w:rPr>
  </w:style>
  <w:style w:type="paragraph" w:styleId="Heading2">
    <w:name w:val="heading 2"/>
    <w:basedOn w:val="Normal"/>
    <w:next w:val="ListParagraph"/>
    <w:link w:val="Ttulo2Car"/>
    <w:uiPriority w:val="9"/>
    <w:unhideWhenUsed/>
    <w:qFormat/>
    <w:pPr>
      <w:keepNext w:val="true"/>
      <w:numPr>
        <w:ilvl w:val="1"/>
        <w:numId w:val="1"/>
      </w:numPr>
      <w:spacing w:before="240" w:after="240"/>
      <w:ind w:hanging="578" w:left="578"/>
      <w:contextualSpacing/>
      <w:outlineLvl w:val="1"/>
    </w:pPr>
    <w:rPr>
      <w:rFonts w:ascii="Times New Roman" w:hAnsi="Times New Roman"/>
      <w:b/>
      <w:color w:themeColor="dark1" w:val="000000"/>
      <w:sz w:val="24"/>
      <w:szCs w:val="26"/>
    </w:rPr>
  </w:style>
  <w:style w:type="paragraph" w:styleId="Heading3">
    <w:name w:val="heading 3"/>
    <w:basedOn w:val="Normal"/>
    <w:next w:val="Normal"/>
    <w:link w:val="Ttulo3Car"/>
    <w:uiPriority w:val="9"/>
    <w:unhideWhenUsed/>
    <w:qFormat/>
    <w:pPr>
      <w:keepNext w:val="true"/>
      <w:numPr>
        <w:ilvl w:val="2"/>
        <w:numId w:val="1"/>
      </w:numPr>
      <w:spacing w:lineRule="auto" w:line="300" w:before="360" w:after="240"/>
      <w:ind w:hanging="907" w:left="1247"/>
      <w:outlineLvl w:val="2"/>
    </w:pPr>
    <w:rPr>
      <w:rFonts w:ascii="Times New Roman" w:hAnsi="Times New Roman"/>
      <w:b/>
      <w:i/>
      <w:color w:themeColor="dark1" w:val="000000"/>
      <w:sz w:val="24"/>
      <w:szCs w:val="24"/>
    </w:rPr>
  </w:style>
  <w:style w:type="paragraph" w:styleId="Heading4">
    <w:name w:val="heading 4"/>
    <w:basedOn w:val="Normal"/>
    <w:next w:val="Normal"/>
    <w:link w:val="Ttulo4Car"/>
    <w:uiPriority w:val="9"/>
    <w:semiHidden/>
    <w:unhideWhenUsed/>
    <w:qFormat/>
    <w:pPr>
      <w:keepNext w:val="true"/>
      <w:keepLines/>
      <w:numPr>
        <w:ilvl w:val="3"/>
        <w:numId w:val="1"/>
      </w:numPr>
      <w:spacing w:lineRule="auto" w:line="300" w:before="240" w:after="360"/>
      <w:ind w:hanging="1077" w:left="1587"/>
      <w:outlineLvl w:val="3"/>
    </w:pPr>
    <w:rPr>
      <w:rFonts w:ascii="Times New Roman" w:hAnsi="Times New Roman"/>
      <w:b/>
      <w:i/>
      <w:iCs/>
      <w:sz w:val="24"/>
    </w:rPr>
  </w:style>
  <w:style w:type="paragraph" w:styleId="Heading5">
    <w:name w:val="heading 5"/>
    <w:basedOn w:val="Normal"/>
    <w:next w:val="Normal"/>
    <w:link w:val="Ttulo5Car"/>
    <w:uiPriority w:val="9"/>
    <w:semiHidden/>
    <w:unhideWhenUsed/>
    <w:qFormat/>
    <w:pPr>
      <w:keepNext w:val="true"/>
      <w:keepLines/>
      <w:numPr>
        <w:ilvl w:val="4"/>
        <w:numId w:val="1"/>
      </w:numPr>
      <w:spacing w:before="40" w:after="0"/>
      <w:outlineLvl w:val="4"/>
    </w:pPr>
    <w:rPr>
      <w:rFonts w:ascii="Calibri Light" w:hAnsi="Calibri Light"/>
      <w:color w:themeColor="accent1" w:themeShade="bf" w:val="2E74B5"/>
    </w:rPr>
  </w:style>
  <w:style w:type="paragraph" w:styleId="Heading6">
    <w:name w:val="heading 6"/>
    <w:basedOn w:val="Normal"/>
    <w:next w:val="Normal"/>
    <w:link w:val="Ttulo6Car"/>
    <w:uiPriority w:val="9"/>
    <w:semiHidden/>
    <w:unhideWhenUsed/>
    <w:qFormat/>
    <w:pPr>
      <w:keepNext w:val="true"/>
      <w:keepLines/>
      <w:numPr>
        <w:ilvl w:val="5"/>
        <w:numId w:val="1"/>
      </w:numPr>
      <w:spacing w:before="40" w:after="0"/>
      <w:outlineLvl w:val="5"/>
    </w:pPr>
    <w:rPr>
      <w:rFonts w:ascii="Calibri Light" w:hAnsi="Calibri Light"/>
      <w:color w:themeColor="accent1" w:themeShade="7f" w:val="1F4D78"/>
    </w:rPr>
  </w:style>
  <w:style w:type="paragraph" w:styleId="Heading7">
    <w:name w:val="heading 7"/>
    <w:basedOn w:val="Normal"/>
    <w:next w:val="Normal"/>
    <w:link w:val="Ttulo7Car"/>
    <w:qFormat/>
    <w:pPr>
      <w:keepNext w:val="true"/>
      <w:keepLines/>
      <w:numPr>
        <w:ilvl w:val="6"/>
        <w:numId w:val="1"/>
      </w:numPr>
      <w:spacing w:before="40" w:after="0"/>
      <w:outlineLvl w:val="6"/>
    </w:pPr>
    <w:rPr>
      <w:rFonts w:ascii="Calibri Light" w:hAnsi="Calibri Light"/>
      <w:i/>
      <w:iCs/>
      <w:color w:themeColor="accent1" w:themeShade="7f" w:val="1F4D78"/>
    </w:rPr>
  </w:style>
  <w:style w:type="paragraph" w:styleId="Heading8">
    <w:name w:val="heading 8"/>
    <w:basedOn w:val="Normal"/>
    <w:next w:val="Normal"/>
    <w:link w:val="Ttulo8Car"/>
    <w:qFormat/>
    <w:pPr>
      <w:keepNext w:val="true"/>
      <w:keepLines/>
      <w:numPr>
        <w:ilvl w:val="7"/>
        <w:numId w:val="1"/>
      </w:numPr>
      <w:spacing w:before="40" w:after="0"/>
      <w:outlineLvl w:val="7"/>
    </w:pPr>
    <w:rPr>
      <w:rFonts w:ascii="Calibri Light" w:hAnsi="Calibri Light"/>
      <w:color w:themeColor="dark1" w:themeTint="d8" w:val="272727"/>
      <w:sz w:val="21"/>
      <w:szCs w:val="21"/>
    </w:rPr>
  </w:style>
  <w:style w:type="paragraph" w:styleId="Heading9">
    <w:name w:val="heading 9"/>
    <w:basedOn w:val="Normal"/>
    <w:next w:val="Normal"/>
    <w:link w:val="Ttulo9Car"/>
    <w:qFormat/>
    <w:pPr>
      <w:keepNext w:val="true"/>
      <w:keepLines/>
      <w:numPr>
        <w:ilvl w:val="8"/>
        <w:numId w:val="2"/>
      </w:numPr>
      <w:spacing w:before="40" w:after="0"/>
      <w:outlineLvl w:val="8"/>
    </w:pPr>
    <w:rPr>
      <w:rFonts w:ascii="Calibri Light" w:hAnsi="Calibri Light"/>
      <w:i/>
      <w:iCs/>
      <w:color w:themeColor="dark1" w:themeTint="d8" w:val="272727"/>
      <w:sz w:val="21"/>
      <w:szCs w:val="21"/>
    </w:rPr>
  </w:style>
  <w:style w:type="character" w:styleId="DefaultParagraphFont" w:default="1">
    <w:name w:val="Default Paragraph Font"/>
    <w:uiPriority w:val="1"/>
    <w:semiHidden/>
    <w:unhideWhenUsed/>
    <w:qFormat/>
    <w:rPr/>
  </w:style>
  <w:style w:type="character" w:styleId="HTMLCode">
    <w:name w:val="HTML Code"/>
    <w:basedOn w:val="DefaultParagraphFont"/>
    <w:qFormat/>
    <w:rPr>
      <w:rFonts w:ascii="Courier New" w:hAnsi="Courier New" w:eastAsia="Times New Roman" w:cs="Courier New"/>
      <w:sz w:val="20"/>
      <w:szCs w:val="20"/>
    </w:rPr>
  </w:style>
  <w:style w:type="character" w:styleId="Hyperlink">
    <w:name w:val="Hyperlink"/>
    <w:basedOn w:val="DefaultParagraphFont"/>
    <w:uiPriority w:val="99"/>
    <w:rPr>
      <w:color w:themeColor="hyperlink" w:val="0563C1"/>
      <w:u w:val="single"/>
    </w:rPr>
  </w:style>
  <w:style w:type="character" w:styleId="FollowedHyperlink">
    <w:name w:val="FollowedHyperlink"/>
    <w:basedOn w:val="DefaultParagraphFont"/>
    <w:rPr>
      <w:color w:themeColor="followedHyperlink" w:val="954F72"/>
      <w:u w:val="single"/>
    </w:rPr>
  </w:style>
  <w:style w:type="character" w:styleId="Strong">
    <w:name w:val="Strong"/>
    <w:basedOn w:val="DefaultParagraphFont"/>
    <w:qFormat/>
    <w:rPr>
      <w:rFonts w:ascii="Times New Roman" w:hAnsi="Times New Roman"/>
      <w:b/>
      <w:bCs/>
      <w:sz w:val="24"/>
    </w:rPr>
  </w:style>
  <w:style w:type="character" w:styleId="Ttulo1Car" w:customStyle="1">
    <w:name w:val="Título 1 Car"/>
    <w:basedOn w:val="DefaultParagraphFont"/>
    <w:link w:val="Heading1"/>
    <w:uiPriority w:val="9"/>
    <w:qFormat/>
    <w:rPr>
      <w:rFonts w:ascii="Times New Roman" w:hAnsi="Times New Roman"/>
      <w:b/>
      <w:caps/>
      <w:sz w:val="24"/>
      <w:szCs w:val="32"/>
    </w:rPr>
  </w:style>
  <w:style w:type="character" w:styleId="EncabezadoCar" w:customStyle="1">
    <w:name w:val="Encabezado Car"/>
    <w:basedOn w:val="DefaultParagraphFont"/>
    <w:link w:val="Header"/>
    <w:qFormat/>
    <w:rPr>
      <w:rFonts w:ascii="Times New Roman" w:hAnsi="Times New Roman"/>
      <w:sz w:val="24"/>
    </w:rPr>
  </w:style>
  <w:style w:type="character" w:styleId="PiedepginaCar" w:customStyle="1">
    <w:name w:val="Pie de página Car"/>
    <w:basedOn w:val="DefaultParagraphFont"/>
    <w:link w:val="Footer"/>
    <w:qFormat/>
    <w:rPr>
      <w:rFonts w:ascii="Times New Roman" w:hAnsi="Times New Roman"/>
      <w:sz w:val="24"/>
    </w:rPr>
  </w:style>
  <w:style w:type="character" w:styleId="Ttulo2Car" w:customStyle="1">
    <w:name w:val="Título 2 Car"/>
    <w:basedOn w:val="DefaultParagraphFont"/>
    <w:link w:val="Heading2"/>
    <w:uiPriority w:val="9"/>
    <w:qFormat/>
    <w:rPr>
      <w:rFonts w:ascii="Times New Roman" w:hAnsi="Times New Roman"/>
      <w:b/>
      <w:color w:themeColor="dark1" w:val="000000"/>
      <w:sz w:val="24"/>
      <w:szCs w:val="26"/>
    </w:rPr>
  </w:style>
  <w:style w:type="character" w:styleId="TextodegloboCar" w:customStyle="1">
    <w:name w:val="Texto de globo Car"/>
    <w:basedOn w:val="DefaultParagraphFont"/>
    <w:link w:val="BalloonText"/>
    <w:qFormat/>
    <w:rPr>
      <w:rFonts w:ascii="Segoe UI" w:hAnsi="Segoe UI" w:cs="Segoe UI"/>
      <w:sz w:val="18"/>
      <w:szCs w:val="18"/>
    </w:rPr>
  </w:style>
  <w:style w:type="character" w:styleId="Ttulo3Car" w:customStyle="1">
    <w:name w:val="Título 3 Car"/>
    <w:basedOn w:val="DefaultParagraphFont"/>
    <w:link w:val="Heading3"/>
    <w:qFormat/>
    <w:rPr>
      <w:rFonts w:ascii="Times New Roman" w:hAnsi="Times New Roman" w:eastAsia="Calibri" w:cs="Noto Sans Arabic UI"/>
      <w:b/>
      <w:i/>
      <w:color w:themeColor="dark1" w:val="000000"/>
      <w:sz w:val="24"/>
      <w:szCs w:val="24"/>
    </w:rPr>
  </w:style>
  <w:style w:type="character" w:styleId="Ttulo4Car" w:customStyle="1">
    <w:name w:val="Título 4 Car"/>
    <w:basedOn w:val="DefaultParagraphFont"/>
    <w:link w:val="Heading4"/>
    <w:qFormat/>
    <w:rPr>
      <w:rFonts w:ascii="Times New Roman" w:hAnsi="Times New Roman" w:eastAsia="Calibri" w:cs="Noto Sans Arabic UI"/>
      <w:b/>
      <w:i/>
      <w:iCs/>
      <w:sz w:val="24"/>
    </w:rPr>
  </w:style>
  <w:style w:type="character" w:styleId="Ttulo5Car" w:customStyle="1">
    <w:name w:val="Título 5 Car"/>
    <w:basedOn w:val="DefaultParagraphFont"/>
    <w:link w:val="Heading5"/>
    <w:qFormat/>
    <w:rPr>
      <w:rFonts w:ascii="Calibri Light" w:hAnsi="Calibri Light" w:eastAsia="Calibri" w:cs="Noto Sans Arabic UI"/>
      <w:color w:themeColor="accent1" w:themeShade="bf" w:val="2E74B5"/>
      <w:sz w:val="20"/>
    </w:rPr>
  </w:style>
  <w:style w:type="character" w:styleId="Ttulo6Car" w:customStyle="1">
    <w:name w:val="Título 6 Car"/>
    <w:basedOn w:val="DefaultParagraphFont"/>
    <w:link w:val="Heading6"/>
    <w:qFormat/>
    <w:rPr>
      <w:rFonts w:ascii="Calibri Light" w:hAnsi="Calibri Light" w:eastAsia="Calibri" w:cs="Noto Sans Arabic UI"/>
      <w:color w:themeColor="accent1" w:themeShade="7f" w:val="1F4D78"/>
      <w:sz w:val="20"/>
    </w:rPr>
  </w:style>
  <w:style w:type="character" w:styleId="Ttulo7Car" w:customStyle="1">
    <w:name w:val="Título 7 Car"/>
    <w:basedOn w:val="DefaultParagraphFont"/>
    <w:link w:val="Heading7"/>
    <w:qFormat/>
    <w:rPr>
      <w:rFonts w:ascii="Calibri Light" w:hAnsi="Calibri Light" w:eastAsia="Calibri" w:cs="Noto Sans Arabic UI"/>
      <w:i/>
      <w:iCs/>
      <w:color w:themeColor="accent1" w:themeShade="7f" w:val="1F4D78"/>
      <w:sz w:val="20"/>
    </w:rPr>
  </w:style>
  <w:style w:type="character" w:styleId="Ttulo8Car" w:customStyle="1">
    <w:name w:val="Título 8 Car"/>
    <w:basedOn w:val="DefaultParagraphFont"/>
    <w:link w:val="Heading8"/>
    <w:qFormat/>
    <w:rPr>
      <w:rFonts w:ascii="Calibri Light" w:hAnsi="Calibri Light" w:eastAsia="Calibri" w:cs="Noto Sans Arabic UI"/>
      <w:color w:themeColor="dark1" w:themeTint="d8" w:val="272727"/>
      <w:sz w:val="21"/>
      <w:szCs w:val="21"/>
    </w:rPr>
  </w:style>
  <w:style w:type="character" w:styleId="Ttulo9Car" w:customStyle="1">
    <w:name w:val="Título 9 Car"/>
    <w:basedOn w:val="DefaultParagraphFont"/>
    <w:link w:val="Heading9"/>
    <w:qFormat/>
    <w:rPr>
      <w:rFonts w:ascii="Calibri Light" w:hAnsi="Calibri Light" w:eastAsia="Calibri" w:cs="Noto Sans Arabic UI"/>
      <w:i/>
      <w:iCs/>
      <w:color w:themeColor="dark1" w:themeTint="d8" w:val="272727"/>
      <w:sz w:val="21"/>
      <w:szCs w:val="21"/>
    </w:rPr>
  </w:style>
  <w:style w:type="character" w:styleId="tablaCar" w:customStyle="1">
    <w:name w:val="tabla Car"/>
    <w:basedOn w:val="DefaultParagraphFont"/>
    <w:link w:val="tabla"/>
    <w:qFormat/>
    <w:rPr>
      <w:rFonts w:ascii="Times New Roman" w:hAnsi="Times New Roman"/>
      <w:sz w:val="20"/>
    </w:rPr>
  </w:style>
  <w:style w:type="character" w:styleId="AnexoCar" w:customStyle="1">
    <w:name w:val="Anexo Car"/>
    <w:basedOn w:val="Ttulo4Car"/>
    <w:link w:val="Anexo"/>
    <w:qFormat/>
    <w:rPr>
      <w:rFonts w:ascii="Times New Roman" w:hAnsi="Times New Roman" w:eastAsia="Calibri" w:cs="Noto Sans Arabic UI"/>
      <w:b/>
      <w:i/>
      <w:iCs/>
      <w:sz w:val="24"/>
    </w:rPr>
  </w:style>
  <w:style w:type="character" w:styleId="CodeCar" w:customStyle="1">
    <w:name w:val="Code Car"/>
    <w:basedOn w:val="DefaultParagraphFont"/>
    <w:link w:val="Code"/>
    <w:qFormat/>
    <w:rPr>
      <w:rFonts w:ascii="Courier New" w:hAnsi="Courier New" w:eastAsia="Calibri" w:cs="Noto Sans Arabic UI"/>
      <w:color w:themeColor="accent5" w:themeShade="bf" w:val="2F5496"/>
      <w:sz w:val="20"/>
      <w:szCs w:val="18"/>
      <w:lang w:val="en-US" w:eastAsia="es-ES"/>
    </w:rPr>
  </w:style>
  <w:style w:type="character" w:styleId="Mencinsinresolver1" w:customStyle="1">
    <w:name w:val="Mención sin resolver1"/>
    <w:basedOn w:val="DefaultParagraphFont"/>
    <w:qFormat/>
    <w:rPr>
      <w:color w:val="605E5C"/>
      <w:shd w:fill="E1DFDD" w:val="clear"/>
    </w:rPr>
  </w:style>
  <w:style w:type="character" w:styleId="HTMLconformatoprevioCar" w:customStyle="1">
    <w:name w:val="HTML con formato previo Car"/>
    <w:basedOn w:val="DefaultParagraphFont"/>
    <w:link w:val="HTMLPreformatted"/>
    <w:qFormat/>
    <w:rPr>
      <w:rFonts w:ascii="Courier New" w:hAnsi="Courier New" w:eastAsia="Times New Roman" w:cs="Courier New"/>
      <w:sz w:val="20"/>
      <w:szCs w:val="20"/>
      <w:lang w:eastAsia="es-ES"/>
    </w:rPr>
  </w:style>
  <w:style w:type="character" w:styleId="hljs-meta" w:customStyle="1">
    <w:name w:val="hljs-meta"/>
    <w:basedOn w:val="DefaultParagraphFont"/>
    <w:qFormat/>
    <w:rPr/>
  </w:style>
  <w:style w:type="character" w:styleId="hljs-keyword" w:customStyle="1">
    <w:name w:val="hljs-keyword"/>
    <w:basedOn w:val="DefaultParagraphFont"/>
    <w:qFormat/>
    <w:rPr/>
  </w:style>
  <w:style w:type="character" w:styleId="hljs-title" w:customStyle="1">
    <w:name w:val="hljs-title"/>
    <w:basedOn w:val="DefaultParagraphFont"/>
    <w:qFormat/>
    <w:rPr/>
  </w:style>
  <w:style w:type="character" w:styleId="hljs-string" w:customStyle="1">
    <w:name w:val="hljs-string"/>
    <w:basedOn w:val="DefaultParagraphFont"/>
    <w:qFormat/>
    <w:rPr/>
  </w:style>
  <w:style w:type="character" w:styleId="hljs-number" w:customStyle="1">
    <w:name w:val="hljs-number"/>
    <w:basedOn w:val="DefaultParagraphFont"/>
    <w:qFormat/>
    <w:rPr/>
  </w:style>
  <w:style w:type="character" w:styleId="hljs-variable" w:customStyle="1">
    <w:name w:val="hljs-variable"/>
    <w:basedOn w:val="DefaultParagraphFont"/>
    <w:qFormat/>
    <w:rPr/>
  </w:style>
  <w:style w:type="character" w:styleId="hljs-params" w:customStyle="1">
    <w:name w:val="hljs-params"/>
    <w:basedOn w:val="DefaultParagraphFont"/>
    <w:qFormat/>
    <w:rPr/>
  </w:style>
  <w:style w:type="character" w:styleId="hljs-comment" w:customStyle="1">
    <w:name w:val="hljs-comment"/>
    <w:basedOn w:val="DefaultParagraphFont"/>
    <w:qFormat/>
    <w:rPr/>
  </w:style>
  <w:style w:type="character" w:styleId="hljs-attr" w:customStyle="1">
    <w:name w:val="hljs-attr"/>
    <w:basedOn w:val="DefaultParagraphFont"/>
    <w:qFormat/>
    <w:rPr/>
  </w:style>
  <w:style w:type="character" w:styleId="hljs-property" w:customStyle="1">
    <w:name w:val="hljs-property"/>
    <w:basedOn w:val="DefaultParagraphFont"/>
    <w:qFormat/>
    <w:rPr/>
  </w:style>
  <w:style w:type="character" w:styleId="hljs-function" w:customStyle="1">
    <w:name w:val="hljs-function"/>
    <w:basedOn w:val="DefaultParagraphFont"/>
    <w:qFormat/>
    <w:rPr/>
  </w:style>
  <w:style w:type="character" w:styleId="hljs-literal" w:customStyle="1">
    <w:name w:val="hljs-literal"/>
    <w:basedOn w:val="DefaultParagraphFont"/>
    <w:qFormat/>
    <w:rPr/>
  </w:style>
  <w:style w:type="character" w:styleId="hljs-builtin" w:customStyle="1">
    <w:name w:val="hljs-built_in"/>
    <w:basedOn w:val="DefaultParagraphFont"/>
    <w:qFormat/>
    <w:rPr/>
  </w:style>
  <w:style w:type="character" w:styleId="token" w:customStyle="1">
    <w:name w:val="token"/>
    <w:basedOn w:val="DefaultParagraphFont"/>
    <w:qFormat/>
    <w:rPr/>
  </w:style>
  <w:style w:type="character" w:styleId="Enlacedelndice" w:customStyle="1">
    <w:name w:val="Enlace del índice"/>
    <w:qFormat/>
    <w:rPr/>
  </w:style>
  <w:style w:type="character" w:styleId="Bolos" w:customStyle="1">
    <w:name w:val="Bolos"/>
    <w:qFormat/>
    <w:rPr>
      <w:rFonts w:ascii="OpenSymbol" w:hAnsi="OpenSymbol" w:eastAsia="OpenSymbol" w:cs="OpenSymbol"/>
    </w:rPr>
  </w:style>
  <w:style w:type="character" w:styleId="SinespaciadoCar" w:customStyle="1">
    <w:name w:val="Sin espaciado Car"/>
    <w:basedOn w:val="DefaultParagraphFont"/>
    <w:link w:val="NoSpacing"/>
    <w:uiPriority w:val="1"/>
    <w:qFormat/>
    <w:rPr/>
  </w:style>
  <w:style w:type="character" w:styleId="IndexLink" w:customStyle="1">
    <w:name w:val="Index Link"/>
    <w:qFormat/>
    <w:rPr/>
  </w:style>
  <w:style w:type="character" w:styleId="NumberingSymbols" w:customStyle="1">
    <w:name w:val="Numbering Symbols"/>
    <w:qFormat/>
    <w:rPr/>
  </w:style>
  <w:style w:type="character" w:styleId="SourceText" w:customStyle="1">
    <w:name w:val="Source Text"/>
    <w:qFormat/>
    <w:rPr>
      <w:rFonts w:ascii="Liberation Mono" w:hAnsi="Liberation Mono" w:eastAsia="Liberation Mono" w:cs="Liberation Mono"/>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300" w:before="101" w:after="115"/>
      <w:ind w:hanging="0"/>
    </w:pPr>
    <w:rPr>
      <w:rFonts w:ascii="Times New Roman" w:hAnsi="Times New Roman"/>
      <w:sz w:val="24"/>
      <w:szCs w:val="24"/>
    </w:rPr>
  </w:style>
  <w:style w:type="paragraph" w:styleId="List">
    <w:name w:val="List"/>
    <w:basedOn w:val="BodyText"/>
    <w:pPr/>
    <w:rPr>
      <w:rFonts w:cs="Noto Sans Devanagari"/>
    </w:rPr>
  </w:style>
  <w:style w:type="paragraph" w:styleId="Caption">
    <w:name w:val="caption"/>
    <w:basedOn w:val="Normal"/>
    <w:next w:val="Normal"/>
    <w:qFormat/>
    <w:pPr>
      <w:spacing w:lineRule="auto" w:line="240" w:before="0" w:after="200"/>
    </w:pPr>
    <w:rPr>
      <w:i/>
      <w:iCs/>
      <w:color w:themeColor="dark2" w:val="44546A"/>
      <w:sz w:val="18"/>
      <w:szCs w:val="18"/>
    </w:rPr>
  </w:style>
  <w:style w:type="paragraph" w:styleId="Index" w:customStyle="1">
    <w:name w:val="Index"/>
    <w:basedOn w:val="Normal"/>
    <w:qFormat/>
    <w:pPr>
      <w:suppressLineNumbers/>
    </w:pPr>
    <w:rPr>
      <w:rFonts w:cs="Noto Sans Devanagari"/>
    </w:rPr>
  </w:style>
  <w:style w:type="paragraph" w:styleId="ListParagraph">
    <w:name w:val="List Paragraph"/>
    <w:basedOn w:val="Normal"/>
    <w:qFormat/>
    <w:pPr>
      <w:widowControl w:val="false"/>
      <w:spacing w:lineRule="auto" w:line="300" w:before="115" w:after="101"/>
      <w:ind w:hanging="0"/>
    </w:pPr>
    <w:rPr>
      <w:rFonts w:ascii="Times New Roman" w:hAnsi="Times New Roman"/>
      <w:sz w:val="24"/>
    </w:rPr>
  </w:style>
  <w:style w:type="paragraph" w:styleId="TOC3">
    <w:name w:val="toc 3"/>
    <w:basedOn w:val="Normal"/>
    <w:next w:val="Normal"/>
    <w:autoRedefine/>
    <w:pPr>
      <w:spacing w:before="0" w:after="0"/>
      <w:ind w:left="400"/>
      <w:jc w:val="left"/>
    </w:pPr>
    <w:rPr>
      <w:rFonts w:ascii="Arial" w:hAnsi="Arial" w:cs="Arial" w:asciiTheme="minorHAnsi" w:cstheme="minorHAnsi" w:hAnsiTheme="minorHAnsi"/>
      <w:szCs w:val="20"/>
    </w:rPr>
  </w:style>
  <w:style w:type="paragraph" w:styleId="TOC9">
    <w:name w:val="toc 9"/>
    <w:basedOn w:val="Normal"/>
    <w:next w:val="Normal"/>
    <w:autoRedefine/>
    <w:pPr>
      <w:spacing w:before="0" w:after="0"/>
      <w:ind w:left="1600"/>
      <w:jc w:val="left"/>
    </w:pPr>
    <w:rPr>
      <w:rFonts w:ascii="Arial" w:hAnsi="Arial" w:cs="Arial" w:asciiTheme="minorHAnsi" w:cstheme="minorHAnsi" w:hAnsiTheme="minorHAnsi"/>
      <w:szCs w:val="20"/>
    </w:rPr>
  </w:style>
  <w:style w:type="paragraph" w:styleId="TOC7">
    <w:name w:val="toc 7"/>
    <w:basedOn w:val="Normal"/>
    <w:next w:val="Normal"/>
    <w:autoRedefine/>
    <w:pPr>
      <w:spacing w:before="0" w:after="0"/>
      <w:ind w:left="1200"/>
      <w:jc w:val="left"/>
    </w:pPr>
    <w:rPr>
      <w:rFonts w:ascii="Arial" w:hAnsi="Arial" w:cs="Arial" w:asciiTheme="minorHAnsi" w:cstheme="minorHAnsi" w:hAnsiTheme="minorHAnsi"/>
      <w:szCs w:val="20"/>
    </w:rPr>
  </w:style>
  <w:style w:type="paragraph" w:styleId="TOC1">
    <w:name w:val="toc 1"/>
    <w:basedOn w:val="Normal"/>
    <w:next w:val="Normal"/>
    <w:autoRedefine/>
    <w:uiPriority w:val="39"/>
    <w:pPr>
      <w:spacing w:before="240" w:after="120"/>
      <w:jc w:val="left"/>
    </w:pPr>
    <w:rPr>
      <w:rFonts w:ascii="Arial" w:hAnsi="Arial" w:cs="Arial" w:asciiTheme="minorHAnsi" w:cstheme="minorHAnsi" w:hAnsiTheme="minorHAnsi"/>
      <w:b/>
      <w:bCs/>
      <w:szCs w:val="20"/>
    </w:rPr>
  </w:style>
  <w:style w:type="paragraph" w:styleId="TOC8">
    <w:name w:val="toc 8"/>
    <w:basedOn w:val="Normal"/>
    <w:next w:val="Normal"/>
    <w:autoRedefine/>
    <w:pPr>
      <w:spacing w:before="0" w:after="0"/>
      <w:ind w:left="1400"/>
      <w:jc w:val="left"/>
    </w:pPr>
    <w:rPr>
      <w:rFonts w:ascii="Arial" w:hAnsi="Arial" w:cs="Arial" w:asciiTheme="minorHAnsi" w:cstheme="minorHAnsi" w:hAnsiTheme="minorHAnsi"/>
      <w:szCs w:val="20"/>
    </w:rPr>
  </w:style>
  <w:style w:type="paragraph" w:styleId="TOC2">
    <w:name w:val="toc 2"/>
    <w:basedOn w:val="Normal"/>
    <w:next w:val="Normal"/>
    <w:autoRedefine/>
    <w:uiPriority w:val="39"/>
    <w:pPr>
      <w:ind w:left="200"/>
      <w:jc w:val="left"/>
    </w:pPr>
    <w:rPr>
      <w:rFonts w:ascii="Arial" w:hAnsi="Arial" w:cs="Arial" w:asciiTheme="minorHAnsi" w:cstheme="minorHAnsi" w:hAnsiTheme="minorHAnsi"/>
      <w:i/>
      <w:iCs/>
      <w:szCs w:val="20"/>
    </w:rPr>
  </w:style>
  <w:style w:type="paragraph" w:styleId="BalloonText">
    <w:name w:val="Balloon Text"/>
    <w:basedOn w:val="Normal"/>
    <w:link w:val="TextodegloboCar"/>
    <w:qFormat/>
    <w:pPr>
      <w:spacing w:lineRule="auto" w:line="240" w:before="0" w:after="0"/>
    </w:pPr>
    <w:rPr>
      <w:rFonts w:ascii="Segoe UI" w:hAnsi="Segoe UI" w:cs="Segoe UI"/>
      <w:sz w:val="18"/>
      <w:szCs w:val="18"/>
    </w:rPr>
  </w:style>
  <w:style w:type="paragraph" w:styleId="TOC6">
    <w:name w:val="toc 6"/>
    <w:basedOn w:val="Normal"/>
    <w:next w:val="Normal"/>
    <w:autoRedefine/>
    <w:pPr>
      <w:spacing w:before="0" w:after="0"/>
      <w:ind w:left="1000"/>
      <w:jc w:val="left"/>
    </w:pPr>
    <w:rPr>
      <w:rFonts w:ascii="Arial" w:hAnsi="Arial" w:cs="Arial" w:asciiTheme="minorHAnsi" w:cstheme="minorHAnsi" w:hAnsiTheme="minorHAnsi"/>
      <w:szCs w:val="20"/>
    </w:rPr>
  </w:style>
  <w:style w:type="paragraph" w:styleId="TOC5">
    <w:name w:val="toc 5"/>
    <w:basedOn w:val="Normal"/>
    <w:next w:val="Normal"/>
    <w:autoRedefine/>
    <w:pPr>
      <w:spacing w:before="0" w:after="0"/>
      <w:ind w:left="800"/>
      <w:jc w:val="left"/>
    </w:pPr>
    <w:rPr>
      <w:rFonts w:ascii="Arial" w:hAnsi="Arial" w:cs="Arial" w:asciiTheme="minorHAnsi" w:cstheme="minorHAnsi" w:hAnsiTheme="minorHAnsi"/>
      <w:szCs w:val="20"/>
    </w:rPr>
  </w:style>
  <w:style w:type="paragraph" w:styleId="TOC4">
    <w:name w:val="toc 4"/>
    <w:basedOn w:val="Normal"/>
    <w:next w:val="Normal"/>
    <w:autoRedefine/>
    <w:pPr>
      <w:spacing w:before="0" w:after="0"/>
      <w:ind w:left="600"/>
      <w:jc w:val="left"/>
    </w:pPr>
    <w:rPr>
      <w:rFonts w:ascii="Arial" w:hAnsi="Arial" w:cs="Arial" w:asciiTheme="minorHAnsi" w:cstheme="minorHAnsi" w:hAnsiTheme="minorHAnsi"/>
      <w:szCs w:val="20"/>
    </w:rPr>
  </w:style>
  <w:style w:type="paragraph" w:styleId="IndexHeading">
    <w:name w:val="index heading"/>
    <w:basedOn w:val="Normal"/>
    <w:pPr/>
    <w:rPr/>
  </w:style>
  <w:style w:type="paragraph" w:styleId="HeaderandFooter" w:customStyle="1">
    <w:name w:val="Header and Footer"/>
    <w:basedOn w:val="Normal"/>
    <w:qFormat/>
    <w:pPr/>
    <w:rPr/>
  </w:style>
  <w:style w:type="paragraph" w:styleId="Header">
    <w:name w:val="header"/>
    <w:basedOn w:val="Normal"/>
    <w:link w:val="EncabezadoCar"/>
    <w:pPr>
      <w:tabs>
        <w:tab w:val="clear" w:pos="708"/>
        <w:tab w:val="center" w:pos="4252" w:leader="none"/>
        <w:tab w:val="right" w:pos="8504" w:leader="none"/>
      </w:tabs>
      <w:spacing w:lineRule="auto" w:line="240"/>
    </w:pPr>
    <w:rPr/>
  </w:style>
  <w:style w:type="paragraph" w:styleId="HTMLPreformatted">
    <w:name w:val="HTML Preformatted"/>
    <w:basedOn w:val="Normal"/>
    <w:link w:val="HTMLconformatoprevioCar"/>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jc w:val="left"/>
    </w:pPr>
    <w:rPr>
      <w:rFonts w:ascii="Courier New" w:hAnsi="Courier New" w:eastAsia="Times New Roman" w:cs="Courier New"/>
      <w:szCs w:val="20"/>
      <w:lang w:eastAsia="es-ES"/>
    </w:rPr>
  </w:style>
  <w:style w:type="paragraph" w:styleId="NormalWeb">
    <w:name w:val="Normal (Web)"/>
    <w:basedOn w:val="Normal"/>
    <w:qFormat/>
    <w:pPr>
      <w:spacing w:lineRule="auto" w:line="240" w:before="280" w:after="280"/>
      <w:ind w:hanging="0"/>
      <w:jc w:val="left"/>
    </w:pPr>
    <w:rPr>
      <w:rFonts w:ascii="Times New Roman" w:hAnsi="Times New Roman" w:eastAsia="Times New Roman" w:cs="Times New Roman"/>
      <w:sz w:val="24"/>
      <w:szCs w:val="24"/>
      <w:lang w:eastAsia="es-ES"/>
    </w:rPr>
  </w:style>
  <w:style w:type="paragraph" w:styleId="Footer">
    <w:name w:val="footer"/>
    <w:basedOn w:val="Normal"/>
    <w:link w:val="PiedepginaCar"/>
    <w:pPr>
      <w:tabs>
        <w:tab w:val="clear" w:pos="708"/>
        <w:tab w:val="center" w:pos="4252" w:leader="none"/>
        <w:tab w:val="right" w:pos="8504" w:leader="none"/>
      </w:tabs>
      <w:spacing w:lineRule="auto" w:line="240"/>
    </w:pPr>
    <w:rPr/>
  </w:style>
  <w:style w:type="paragraph" w:styleId="Title">
    <w:name w:val="Title"/>
    <w:basedOn w:val="Normal"/>
    <w:next w:val="BodyText"/>
    <w:uiPriority w:val="10"/>
    <w:qFormat/>
    <w:pPr>
      <w:jc w:val="center"/>
    </w:pPr>
    <w:rPr>
      <w:b/>
      <w:bCs/>
      <w:sz w:val="56"/>
      <w:szCs w:val="56"/>
    </w:rPr>
  </w:style>
  <w:style w:type="paragraph" w:styleId="tabla" w:customStyle="1">
    <w:name w:val="tabla"/>
    <w:basedOn w:val="Normal"/>
    <w:link w:val="tablaCar"/>
    <w:qFormat/>
    <w:pPr>
      <w:spacing w:lineRule="auto" w:line="240" w:before="120" w:after="120"/>
      <w:ind w:hanging="0"/>
      <w:jc w:val="center"/>
    </w:pPr>
    <w:rPr>
      <w:rFonts w:ascii="Times New Roman" w:hAnsi="Times New Roman"/>
    </w:rPr>
  </w:style>
  <w:style w:type="paragraph" w:styleId="Anexo" w:customStyle="1">
    <w:name w:val="Anexo"/>
    <w:basedOn w:val="Heading4"/>
    <w:link w:val="AnexoCar"/>
    <w:qFormat/>
    <w:pPr>
      <w:numPr>
        <w:ilvl w:val="0"/>
        <w:numId w:val="0"/>
      </w:numPr>
      <w:ind w:hanging="864" w:left="864"/>
    </w:pPr>
    <w:rPr/>
  </w:style>
  <w:style w:type="paragraph" w:styleId="Code" w:customStyle="1">
    <w:name w:val="Code"/>
    <w:link w:val="CodeCar"/>
    <w:qFormat/>
    <w:pPr>
      <w:widowControl/>
      <w:suppressAutoHyphens w:val="true"/>
      <w:bidi w:val="0"/>
      <w:spacing w:before="360" w:after="480"/>
      <w:ind w:left="851"/>
      <w:jc w:val="both"/>
    </w:pPr>
    <w:rPr>
      <w:rFonts w:ascii="Courier New" w:hAnsi="Courier New" w:eastAsia="Calibri" w:cs="Noto Sans Arabic UI"/>
      <w:color w:themeColor="accent5" w:themeShade="bf" w:val="2F5496"/>
      <w:kern w:val="0"/>
      <w:sz w:val="20"/>
      <w:szCs w:val="18"/>
      <w:lang w:val="en-US" w:eastAsia="es-ES" w:bidi="ar-SA"/>
    </w:rPr>
  </w:style>
  <w:style w:type="paragraph" w:styleId="NoSpacing">
    <w:name w:val="No Spacing"/>
    <w:link w:val="SinespaciadoCar"/>
    <w:uiPriority w:val="1"/>
    <w:qFormat/>
    <w:pPr>
      <w:widowControl/>
      <w:suppressAutoHyphens w:val="true"/>
      <w:bidi w:val="0"/>
      <w:spacing w:before="0" w:after="0"/>
      <w:jc w:val="left"/>
    </w:pPr>
    <w:rPr>
      <w:rFonts w:ascii="Calibri" w:hAnsi="Calibri" w:eastAsia="Calibri" w:cs="Noto Sans Arabic UI"/>
      <w:color w:val="auto"/>
      <w:kern w:val="0"/>
      <w:sz w:val="22"/>
      <w:szCs w:val="22"/>
      <w:lang w:val="es-ES" w:eastAsia="en-US" w:bidi="ar-SA"/>
    </w:rPr>
  </w:style>
  <w:style w:type="paragraph" w:styleId="ndice" w:customStyle="1">
    <w:name w:val="Índice"/>
    <w:basedOn w:val="Normal"/>
    <w:qFormat/>
    <w:pPr>
      <w:suppressLineNumbers/>
    </w:pPr>
    <w:rPr>
      <w:rFonts w:cs="Noto Sans Devanagari"/>
    </w:rPr>
  </w:style>
  <w:style w:type="paragraph" w:styleId="Cabeceraypie" w:customStyle="1">
    <w:name w:val="Cabecera y pie"/>
    <w:basedOn w:val="Normal"/>
    <w:qFormat/>
    <w:pPr/>
    <w:rPr/>
  </w:style>
  <w:style w:type="paragraph" w:styleId="TtuloTDC1" w:customStyle="1">
    <w:name w:val="Título TDC1"/>
    <w:basedOn w:val="Heading1"/>
    <w:next w:val="Normal"/>
    <w:uiPriority w:val="39"/>
    <w:qFormat/>
    <w:pPr>
      <w:numPr>
        <w:ilvl w:val="0"/>
        <w:numId w:val="0"/>
      </w:numPr>
      <w:spacing w:lineRule="auto" w:line="259" w:before="240" w:after="0"/>
      <w:ind w:hanging="567" w:left="567"/>
      <w:outlineLvl w:val="9"/>
    </w:pPr>
    <w:rPr>
      <w:rFonts w:ascii="Calibri Light" w:hAnsi="Calibri Light"/>
      <w:b w:val="false"/>
      <w:caps w:val="false"/>
      <w:smallCaps w:val="false"/>
      <w:color w:themeColor="accent1" w:themeShade="bf" w:val="2E74B5"/>
      <w:sz w:val="32"/>
      <w:lang w:eastAsia="es-ES"/>
    </w:rPr>
  </w:style>
  <w:style w:type="paragraph" w:styleId="Contenidodelmarco" w:customStyle="1">
    <w:name w:val="Contenido del marco"/>
    <w:basedOn w:val="Normal"/>
    <w:qFormat/>
    <w:pPr/>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FrameContents" w:customStyle="1">
    <w:name w:val="Frame Contents"/>
    <w:basedOn w:val="Normal"/>
    <w:qFormat/>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HeaderLeft" w:customStyle="1">
    <w:name w:val="Header Left"/>
    <w:basedOn w:val="Header"/>
    <w:qFormat/>
    <w:pPr>
      <w:suppressLineNumbers/>
      <w:tabs>
        <w:tab w:val="clear" w:pos="4252"/>
        <w:tab w:val="clear" w:pos="8504"/>
        <w:tab w:val="center" w:pos="4819" w:leader="none"/>
        <w:tab w:val="right" w:pos="9638" w:leader="none"/>
      </w:tabs>
    </w:pPr>
    <w:rPr/>
  </w:style>
  <w:style w:type="paragraph" w:styleId="PreformattedText" w:customStyle="1">
    <w:name w:val="Preformatted Text"/>
    <w:basedOn w:val="Normal"/>
    <w:qFormat/>
    <w:pPr/>
    <w:rPr>
      <w:rFonts w:ascii="Liberation Mono" w:hAnsi="Liberation Mono" w:eastAsia="Liberation Mono" w:cs="Liberation Mono"/>
      <w:szCs w:val="20"/>
    </w:rPr>
  </w:style>
  <w:style w:type="paragraph" w:styleId="TOCHeading">
    <w:name w:val="TOC Heading"/>
    <w:basedOn w:val="IndexHeading"/>
    <w:qFormat/>
    <w:pPr>
      <w:suppressLineNumbers/>
      <w:ind w:hanging="0" w:left="0"/>
    </w:pPr>
    <w:rPr>
      <w:b/>
      <w:bCs/>
      <w:sz w:val="32"/>
      <w:szCs w:val="32"/>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aconcuadrculaclara1">
    <w:name w:val="Tabla con cuadrícula clara1"/>
    <w:basedOn w:val="Tablanormal"/>
    <w:uiPriority w:val="40"/>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3.png"/><Relationship Id="rId19" Type="http://schemas.openxmlformats.org/officeDocument/2006/relationships/image" Target="media/image13.png"/><Relationship Id="rId20" Type="http://schemas.openxmlformats.org/officeDocument/2006/relationships/image" Target="media/image13.png"/><Relationship Id="rId21" Type="http://schemas.openxmlformats.org/officeDocument/2006/relationships/image" Target="media/image13.png"/><Relationship Id="rId22" Type="http://schemas.openxmlformats.org/officeDocument/2006/relationships/image" Target="media/image13.png"/><Relationship Id="rId23" Type="http://schemas.openxmlformats.org/officeDocument/2006/relationships/image" Target="media/image13.png"/><Relationship Id="rId24" Type="http://schemas.openxmlformats.org/officeDocument/2006/relationships/image" Target="media/image13.png"/><Relationship Id="rId25" Type="http://schemas.openxmlformats.org/officeDocument/2006/relationships/image" Target="media/image13.png"/><Relationship Id="rId26" Type="http://schemas.openxmlformats.org/officeDocument/2006/relationships/image" Target="media/image13.png"/><Relationship Id="rId27" Type="http://schemas.openxmlformats.org/officeDocument/2006/relationships/image" Target="media/image10.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3.png"/><Relationship Id="rId35" Type="http://schemas.openxmlformats.org/officeDocument/2006/relationships/image" Target="media/image17.png"/><Relationship Id="rId36" Type="http://schemas.openxmlformats.org/officeDocument/2006/relationships/image" Target="media/image19.png"/><Relationship Id="rId37" Type="http://schemas.openxmlformats.org/officeDocument/2006/relationships/image" Target="media/image3.png"/><Relationship Id="rId38" Type="http://schemas.openxmlformats.org/officeDocument/2006/relationships/image" Target="media/image17.png"/><Relationship Id="rId39" Type="http://schemas.openxmlformats.org/officeDocument/2006/relationships/image" Target="media/image20.png"/><Relationship Id="rId40" Type="http://schemas.openxmlformats.org/officeDocument/2006/relationships/image" Target="media/image3.png"/><Relationship Id="rId41" Type="http://schemas.openxmlformats.org/officeDocument/2006/relationships/image" Target="media/image17.png"/><Relationship Id="rId42" Type="http://schemas.openxmlformats.org/officeDocument/2006/relationships/image" Target="media/image21.png"/><Relationship Id="rId43" Type="http://schemas.openxmlformats.org/officeDocument/2006/relationships/image" Target="media/image3.png"/><Relationship Id="rId44" Type="http://schemas.openxmlformats.org/officeDocument/2006/relationships/image" Target="media/image22.png"/><Relationship Id="rId45" Type="http://schemas.openxmlformats.org/officeDocument/2006/relationships/image" Target="media/image23.png"/><Relationship Id="rId46" Type="http://schemas.openxmlformats.org/officeDocument/2006/relationships/image" Target="media/image24.png"/><Relationship Id="rId47" Type="http://schemas.openxmlformats.org/officeDocument/2006/relationships/image" Target="media/image25.png"/><Relationship Id="rId48" Type="http://schemas.openxmlformats.org/officeDocument/2006/relationships/image" Target="media/image26.png"/><Relationship Id="rId49" Type="http://schemas.openxmlformats.org/officeDocument/2006/relationships/image" Target="media/image3.png"/><Relationship Id="rId50" Type="http://schemas.openxmlformats.org/officeDocument/2006/relationships/image" Target="media/image17.png"/><Relationship Id="rId51" Type="http://schemas.openxmlformats.org/officeDocument/2006/relationships/image" Target="media/image27.png"/><Relationship Id="rId52" Type="http://schemas.openxmlformats.org/officeDocument/2006/relationships/image" Target="media/image3.png"/><Relationship Id="rId53" Type="http://schemas.openxmlformats.org/officeDocument/2006/relationships/image" Target="media/image28.png"/><Relationship Id="rId54" Type="http://schemas.openxmlformats.org/officeDocument/2006/relationships/image" Target="media/image29.png"/><Relationship Id="rId55" Type="http://schemas.openxmlformats.org/officeDocument/2006/relationships/image" Target="media/image30.png"/><Relationship Id="rId56" Type="http://schemas.openxmlformats.org/officeDocument/2006/relationships/image" Target="media/image17.png"/><Relationship Id="rId57" Type="http://schemas.openxmlformats.org/officeDocument/2006/relationships/image" Target="media/image31.png"/><Relationship Id="rId58" Type="http://schemas.openxmlformats.org/officeDocument/2006/relationships/image" Target="media/image3.png"/><Relationship Id="rId59" Type="http://schemas.openxmlformats.org/officeDocument/2006/relationships/header" Target="header1.xml"/><Relationship Id="rId60" Type="http://schemas.openxmlformats.org/officeDocument/2006/relationships/header" Target="header2.xml"/><Relationship Id="rId61" Type="http://schemas.openxmlformats.org/officeDocument/2006/relationships/header" Target="header3.xml"/><Relationship Id="rId62" Type="http://schemas.openxmlformats.org/officeDocument/2006/relationships/footer" Target="footer1.xml"/><Relationship Id="rId63" Type="http://schemas.openxmlformats.org/officeDocument/2006/relationships/footer" Target="footer2.xml"/><Relationship Id="rId64" Type="http://schemas.openxmlformats.org/officeDocument/2006/relationships/footer" Target="footer3.xml"/><Relationship Id="rId65" Type="http://schemas.openxmlformats.org/officeDocument/2006/relationships/numbering" Target="numbering.xml"/><Relationship Id="rId66" Type="http://schemas.openxmlformats.org/officeDocument/2006/relationships/fontTable" Target="fontTable.xml"/><Relationship Id="rId67" Type="http://schemas.openxmlformats.org/officeDocument/2006/relationships/settings" Target="settings.xml"/><Relationship Id="rId68" Type="http://schemas.openxmlformats.org/officeDocument/2006/relationships/theme" Target="theme/theme1.xml"/><Relationship Id="rId69" Type="http://schemas.openxmlformats.org/officeDocument/2006/relationships/customXml" Target="../customXml/item1.xml"/><Relationship Id="rId70" Type="http://schemas.openxmlformats.org/officeDocument/2006/relationships/customXml" Target="../customXml/item2.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hpExts>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5141CA-2EF1-40B8-A92C-3232D701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40507</TotalTime>
  <Application>LibreOffice/25.8.4.2$Linux_X86_64 LibreOffice_project/290daaa01b999472f0c7a3890eb6a550fd74c6df</Application>
  <AppVersion>15.0000</AppVersion>
  <Pages>24</Pages>
  <Words>3861</Words>
  <Characters>21919</Characters>
  <CharactersWithSpaces>25242</CharactersWithSpaces>
  <Paragraphs>558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2024-11-26T17:21:00Z</dcterms:created>
  <dc:creator>Aye dev90</dc:creator>
  <dc:description/>
  <dc:language>en-US</dc:language>
  <cp:lastModifiedBy/>
  <dcterms:modified xsi:type="dcterms:W3CDTF">2026-09-01T18:34:23Z</dcterms:modified>
  <cp:revision>364</cp:revision>
  <dc:subject>Análisis técnico, medioambiental, urbanístico y agrológico de la parcela con ref. catastral ${refcat}, situada en ${cityName} (${provinceName})</dc:subject>
  <dc:title>Informe de viabilidad fotovoltaica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D10A49DDAEAE4489A69C18F18E7F4C9B_12</vt:lpwstr>
  </property>
  <property fmtid="{D5CDD505-2E9C-101B-9397-08002B2CF9AE}" pid="3" name="KSOProductBuildVer">
    <vt:lpwstr>3082-12.1.0.26880</vt:lpwstr>
  </property>
  <property fmtid="{D5CDD505-2E9C-101B-9397-08002B2CF9AE}" pid="4" name="KSOTemplateDocerSaveRecord">
    <vt:lpwstr>eyJoZGlkIjoiZWYzNDM1MmI2MGI0YjFkNWM4OTQyYjQ0NTVhOTg4YjgifQ==</vt:lpwstr>
  </property>
</Properties>
</file>